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WBE.2020.373 vom 12. November 2020</w:t>
      </w:r>
    </w:p>
    <w:p>
      <w:r>
        <w:t>AG Gerichte, 2020-11-12, DE</w:t>
      </w:r>
    </w:p>
    <w:p>
      <w:r>
        <w:rPr>
          <w:b/>
        </w:rPr>
        <w:t xml:space="preserve">Quelle: </w:t>
      </w:r>
      <w:r>
        <w:t>https://mcp.opencaselaw.ch/entscheid/ag_gerichte_WBE.2020.373</w:t>
      </w:r>
    </w:p>
    <w:p>
      <w:r>
        <w:t>FR: AG_GERICHTE WBE.2020.373 du 12 novembre 2020</w:t>
      </w:r>
    </w:p>
    <w:p>
      <w:r>
        <w:t>IT: AG_GERICHTE WBE.2020.373 del 12 novembre 2020</w:t>
      </w:r>
    </w:p>
    <w:p>
      <w:pPr>
        <w:pStyle w:val="Heading2"/>
      </w:pPr>
      <w:r>
        <w:t>Regeste</w:t>
      </w:r>
    </w:p>
    <w:p>
      <w:r>
        <w:t>Rechtsverzögerung Eine behördliche Frist von 30 Tagen, um zum Gesuch um vorsorgliche Massnahmen Stellung zu nehmen, verletzt das Verbot der Rechtsverzögerung.</w:t>
      </w:r>
    </w:p>
    <w:p>
      <w:pPr>
        <w:pStyle w:val="Heading2"/>
      </w:pPr>
      <w:r>
        <w:t>Erwägungen</w:t>
      </w:r>
    </w:p>
    <w:p>
      <w:r>
        <w:rPr>
          <w:b/>
        </w:rPr>
        <w:t>E. 3</w:t>
      </w:r>
    </w:p>
    <w:p>
      <w:r>
        <w:t>Auflage, Basel 2014, Rz. 896). Für die Stellungnahme zum Gesuch um vorsorgliche Massnahmen wäre eine nicht erstreckbare Frist in der Grössenordnung von maximal 14 Tagen angezeigt gewesen (vgl. zum Ganzen: THOMAS SPRECHER, in: Basler Kommentar, Schweizerische Zivilprozessordnung, 3. Auflage, 2017, Art. 265 N 40 mit Hinweisen).</w:t>
      </w:r>
    </w:p>
    <w:p>
      <w:r>
        <w:t>Obergericht, Abteilung Zivilgericht</w:t>
      </w:r>
    </w:p>
    <w:p>
      <w:r>
        <w:t>2020 Familienrecht 473 I. Zivilrecht (Zivilgesetzbuch) A. Familienrecht 53 Art. 260c Abs. 3 ZGB Unzulässigkeit der Abweisung einer von der Ehefrau des anerkennenden Vaters erhobenen Klage auf Anfechtung einer Vaterschaftsanerkennung ohne Einholung von Klageantwort(en) insbesondere des betroffenen Kindes. Ist das Kind urteilsunfähig, ist ihm wegen möglicher Kollision seiner Interessen mit denjenigen der Kindsmutter ein Beistand zu bestellen. Aus dem Entscheid des Obergerichts, 1. Zivilkammer, vom 7. Juli 2020, i.S. L.S. gegen A.S. und N.S. (ZVE.2019.52) Aus den Erwägungen</w:t>
      </w:r>
    </w:p>
    <w:p>
      <w:r>
        <w:rPr>
          <w:b/>
        </w:rPr>
        <w:t>E. 5</w:t>
      </w:r>
    </w:p>
    <w:p>
      <w:r>
        <w:t>Bei der Klage auf Anfechtung einer Vaterschaftsanerkennung handelt es sich um einen Zivilprozess im Sinne eines Zweiparteienverfahrens, dessen (Verfahrens-) Gegenstand in aller Regel, wenn auch nicht zwingend streitig ist. Aus diesem Grund sind grundsätzliche beide Seiten in das Verfahren einzubeziehen. In diesem Rahmen kann die beklagte Partei den eingeklagten Anspruch auch (zumindest teilweise) anerkennen (Art. 241 ZPO) bzw., soweit – wie hier (Art. 296 Abs. 3 ZPO) – die Verfügung über den einge- klagten Anspruch der Parteidisposition entzogen ist (Art. 58 Abs. 3 ZPO), einen Antrag auf Gutheissung der Klage stellen. Zudem gewährt das Prozessrecht den Parteien einen konventionsrechtlich (vgl. Art. 6 Abs. 1 EMRK) geschützten Anspruch auf eine (grundsätzlich öffentliche) Verhandlung. Der Richter ist nicht frei, das gesetzlich vorgesehene Verfahren nach seinem Gutdünken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