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WBE.2020.359 vom 15. Dezember 2020</w:t>
      </w:r>
    </w:p>
    <w:p>
      <w:r>
        <w:t>AG Gerichte, 2020-12-15, DE</w:t>
      </w:r>
    </w:p>
    <w:p>
      <w:r>
        <w:rPr>
          <w:b/>
        </w:rPr>
        <w:t xml:space="preserve">Quelle: </w:t>
      </w:r>
      <w:r>
        <w:t>https://mcp.opencaselaw.ch/entscheid/ag_gerichte_WBE.2020.359</w:t>
      </w:r>
    </w:p>
    <w:p>
      <w:r>
        <w:t>FR: AG_GERICHTE WBE.2020.359 du 15 décembre 2020</w:t>
      </w:r>
    </w:p>
    <w:p>
      <w:r>
        <w:t>IT: AG_GERICHTE WBE.2020.359 del 15 dicembre 2020</w:t>
      </w:r>
    </w:p>
    <w:p>
      <w:pPr>
        <w:pStyle w:val="Heading2"/>
      </w:pPr>
      <w:r>
        <w:t>Regeste</w:t>
      </w:r>
    </w:p>
    <w:p>
      <w:r>
        <w:t>Vermögensverwaltungskosten Liegen konkrete Angaben über die von einer Bank für ihre Dienstleistungen überwälzten Kosten vor und lässt sich aufgrund dieser Informationen im Einzelfall annäherungsweise ermitteln, welche davon als abzugsfähige Vermögensverwaltungskosten zu qualifizieren sind, bleibt für die Anwendung der pauschalen 3‰-Regel kein Raum.</w:t>
      </w:r>
    </w:p>
    <w:p>
      <w:pPr>
        <w:pStyle w:val="Heading2"/>
      </w:pPr>
      <w:r>
        <w:t>Volltext</w:t>
      </w:r>
    </w:p>
    <w:p>
      <w:r>
        <w:t>Aargau Obergericht Verwaltungsgericht 15.12.2020 WBE.2020.359</w:t>
      </w:r>
    </w:p>
    <w:p>
      <w:r>
        <w:t>Vermögensverwaltungskosten Liegen konkrete Angaben über die von einer Bank für ihre Dienstleistungen überwälzten Kosten vor und lässt sich aufgrund dieser Informationen im Einzelfall annäherungsweise ermitteln, welche davon als abzugsfähige Vermögensverwaltungskosten zu qualifizieren sind, bleibt für die Anwendung der pauschalen 3‰-Regel kein Raum.</w:t>
      </w:r>
    </w:p>
    <w:p>
      <w:r>
        <w:t>Aargau Obergericht Verwaltungsgericht Argovie Verwaltungsgericht Argovia Verwaltungsgericht Obergericht / Verwaltungsgericht / 2. Kammer Obergericht / Verwaltungsgericht / 2.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