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WBE.2020.245 vom 2. Dezember 2020</w:t>
      </w:r>
    </w:p>
    <w:p>
      <w:r>
        <w:t>AG Gerichte, 2020-12-02, DE</w:t>
      </w:r>
    </w:p>
    <w:p>
      <w:r>
        <w:rPr>
          <w:b/>
        </w:rPr>
        <w:t xml:space="preserve">Quelle: </w:t>
      </w:r>
      <w:r>
        <w:t>https://mcp.opencaselaw.ch/entscheid/ag_gerichte_WBE.2020.245</w:t>
      </w:r>
    </w:p>
    <w:p>
      <w:r>
        <w:t>FR: AG_GERICHTE WBE.2020.245 du 2 décembre 2020</w:t>
      </w:r>
    </w:p>
    <w:p>
      <w:r>
        <w:t>IT: AG_GERICHTE WBE.2020.245 del 2 dicembre 2020</w:t>
      </w:r>
    </w:p>
    <w:p>
      <w:pPr>
        <w:pStyle w:val="Heading2"/>
      </w:pPr>
      <w:r>
        <w:t>Regeste</w:t>
      </w:r>
    </w:p>
    <w:p>
      <w:r>
        <w:t>Abbruch des Verfahrens; Begründungspflicht Bei Abbruchverfügungen wird eine höhere Begründungsdichte verlangt als bei Zuschlagsverfügungen, zumal hier die Möglichkeit, zusätzliche Informationen nachträglich auf Gesuch hin zu erhalten, nicht vorgesehen ist.</w:t>
      </w:r>
    </w:p>
    <w:p>
      <w:pPr>
        <w:pStyle w:val="Heading2"/>
      </w:pPr>
      <w:r>
        <w:t>Volltext</w:t>
      </w:r>
    </w:p>
    <w:p>
      <w:r>
        <w:t>Aargau Obergericht Verwaltungsgericht 02.12.2020 WBE.2020.245</w:t>
      </w:r>
    </w:p>
    <w:p>
      <w:r>
        <w:t>Abbruch des Verfahrens; Begründungspflicht Bei Abbruchverfügungen wird eine höhere Begründungsdichte verlangt als bei Zuschlagsverfügungen, zumal hier die Möglichkeit, zusätzliche Informationen nachträglich auf Gesuch hin zu erhalten, nicht vorgesehen ist.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