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AG_GERICHTE WBE.2018.344 vom 2. Februar 1971</w:t>
      </w:r>
    </w:p>
    <w:p>
      <w:r>
        <w:t>AG Gerichte, 1971-02-02, DE</w:t>
      </w:r>
    </w:p>
    <w:p>
      <w:r>
        <w:rPr>
          <w:b/>
        </w:rPr>
        <w:t xml:space="preserve">Quelle: </w:t>
      </w:r>
      <w:r>
        <w:t>https://mcp.opencaselaw.ch/entscheid/ag_gerichte_WBE.2018.344</w:t>
      </w:r>
    </w:p>
    <w:p>
      <w:r>
        <w:t>FR: AG_GERICHTE WBE.2018.344 du 2 février 1971</w:t>
      </w:r>
    </w:p>
    <w:p>
      <w:r>
        <w:t>IT: AG_GERICHTE WBE.2018.344 del 2 febbraio 1971</w:t>
      </w:r>
    </w:p>
    <w:p>
      <w:pPr>
        <w:pStyle w:val="Heading2"/>
      </w:pPr>
      <w:r>
        <w:t>Regeste</w:t>
      </w:r>
    </w:p>
    <w:p>
      <w:r>
        <w:t>Gestaltungsplan - § 21 BauG kennt für das Gestaltungsplangebiet im Gegensatz zum früheren Recht (aBauG vom 2. Februar 1971) keine Mindestfläche; entscheidend für die Festlegung des Perimeters sind allein die qualitativen Anforderungen an den Gestaltungsplan (Erw. 3.1.2). - Mit einem Gestaltungsplan kann nach Massgabe von § 21 BauG, § 8 Abs. 2 BauV und allfälliger ergänzender Vorschriften in den kommunalen Bauvorschriften grundsätzlich auch von den ordentlichen Grenzabständen gegenüber Parzellen ausserhalb des Planungsgebiets abgewichen werden (Erw. 3.3.2.3).</w:t>
      </w:r>
    </w:p>
    <w:p>
      <w:pPr>
        <w:pStyle w:val="Heading2"/>
      </w:pPr>
      <w:r>
        <w:t>Volltext</w:t>
      </w:r>
    </w:p>
    <w:p>
      <w:r>
        <w:t>Aargau Obergericht Verwaltungsgericht 27.11.2019 WBE.2018.344</w:t>
      </w:r>
    </w:p>
    <w:p>
      <w:r>
        <w:t>Gestaltungsplan - § 21 BauG kennt für das Gestaltungsplangebiet im Gegensatz zum früheren Recht (aBauG vom 2. Februar 1971) keine Mindestfläche; entscheidend für die Festlegung des Perimeters sind allein die qualitativen Anforderungen an den Gestaltungsplan (Erw. 3.1.2). - Mit einem Gestaltungsplan kann nach Massgabe von § 21 BauG, § 8 Abs. 2 BauV und allfälliger ergänzender Vorschriften in den kommunalen Bauvorschriften grundsätzlich auch von den ordentlichen Grenzabständen gegenüber Parzellen ausserhalb des Planungsgebiets abgewichen werden (Erw. 3.3.2.3).</w:t>
      </w:r>
    </w:p>
    <w:p>
      <w:r>
        <w:t>Aargau Obergericht Verwaltungsgericht Argovie Verwaltungsgericht Argovia Verwaltungsgericht Obergericht / Verwaltungsgericht / 3. Kammer Obergericht / Verwaltungsgericht / 3. Kammer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