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WBE.2018.164 vom 18. Oktober 2018</w:t>
      </w:r>
    </w:p>
    <w:p>
      <w:r>
        <w:t>AG Gerichte, 2018-10-18, DE</w:t>
      </w:r>
    </w:p>
    <w:p>
      <w:r>
        <w:rPr>
          <w:b/>
        </w:rPr>
        <w:t xml:space="preserve">Quelle: </w:t>
      </w:r>
      <w:r>
        <w:t>https://mcp.opencaselaw.ch/entscheid/ag_gerichte_WBE.2018.164</w:t>
      </w:r>
    </w:p>
    <w:p>
      <w:r>
        <w:t>FR: AG_GERICHTE WBE.2018.164 du 18 octobre 2018</w:t>
      </w:r>
    </w:p>
    <w:p>
      <w:r>
        <w:t>IT: AG_GERICHTE WBE.2018.164 del 18 ottobre 2018</w:t>
      </w:r>
    </w:p>
    <w:p>
      <w:pPr>
        <w:pStyle w:val="Heading2"/>
      </w:pPr>
      <w:r>
        <w:t>Regeste</w:t>
      </w:r>
    </w:p>
    <w:p>
      <w:r>
        <w:t>Grundbuchabgabe Zur Bestimmung der Grundbuchabgabe bei der Auflösung von Gesamthandsverhältnissen (§ 11 GBAG) ist grundsätzlich auf den anteilmässigen effektiven Verkehrswert abzustellen; bei mangelnder Verfügbarkeit einer aktuellen Verkehrswertschätzung darf insbesondere der steuerliche Verkehrswert herangezogen werden, wobei sich im Einzelfall Zu-und Abschläge rechtfertigen können.</w:t>
      </w:r>
    </w:p>
    <w:p>
      <w:pPr>
        <w:pStyle w:val="Heading2"/>
      </w:pPr>
      <w:r>
        <w:t>Volltext</w:t>
      </w:r>
    </w:p>
    <w:p>
      <w:r>
        <w:t>Aargau Obergericht Verwaltungsgericht 18.10.2018 WBE.2018.164</w:t>
      </w:r>
    </w:p>
    <w:p>
      <w:r>
        <w:t>Grundbuchabgabe Zur Bestimmung der Grundbuchabgabe bei der Auflösung von Gesamthandsverhältnissen (§ 11 GBAG) ist grundsätzlich auf den anteilmässigen effektiven Verkehrswert abzustellen; bei mangelnder Verfügbarkeit einer aktuellen Verkehrswertschätzung darf insbesondere der steuerliche Verkehrswert herangezogen werden, wobei sich im Einzelfall Zu-und Abschläge rechtfertigen können.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