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WBE.2016.179 vom 17. Mai 2016</w:t>
      </w:r>
    </w:p>
    <w:p>
      <w:r>
        <w:t>AG Gerichte, 2016-05-17, DE</w:t>
      </w:r>
    </w:p>
    <w:p>
      <w:r>
        <w:rPr>
          <w:b/>
        </w:rPr>
        <w:t xml:space="preserve">Quelle: </w:t>
      </w:r>
      <w:r>
        <w:t>https://mcp.opencaselaw.ch/entscheid/ag_gerichte_WBE.2016.179</w:t>
      </w:r>
    </w:p>
    <w:p>
      <w:r>
        <w:t>FR: AG_GERICHTE WBE.2016.179 du 17 mai 2016</w:t>
      </w:r>
    </w:p>
    <w:p>
      <w:r>
        <w:t>IT: AG_GERICHTE WBE.2016.179 del 17 maggio 2016</w:t>
      </w:r>
    </w:p>
    <w:p>
      <w:pPr>
        <w:pStyle w:val="Heading2"/>
      </w:pPr>
      <w:r>
        <w:t>Regeste</w:t>
      </w:r>
    </w:p>
    <w:p>
      <w:r>
        <w:t>Ambulante Massnahme - Unterschied ambulante Massnahmen –Nachbetreuung (Erw. II/1.1) - Bei der Anordnung ambulanter Massnahmen und der Anordnung einer Nachbetreuung muss das konkrete Medikament genannt sein (Präzisierung der Praxis von AGVE 2000, S. 188; Erw. II/5).</w:t>
      </w:r>
    </w:p>
    <w:p>
      <w:pPr>
        <w:pStyle w:val="Heading2"/>
      </w:pPr>
      <w:r>
        <w:t>Volltext</w:t>
      </w:r>
    </w:p>
    <w:p>
      <w:r>
        <w:t>Aargau Obergericht Verwaltungsgericht 17.05.2016 WBE.2016.179</w:t>
      </w:r>
    </w:p>
    <w:p>
      <w:r>
        <w:t>Ambulante Massnahme - Unterschied ambulante Massnahmen –Nachbetreuung (Erw. II/1.1) - Bei der Anordnung ambulanter Massnahmen und der Anordnung einer Nachbetreuung muss das konkrete Medikament genannt sein (Präzisierung der Praxis von AGVE 2000, S. 188; Erw. II/5).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