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WBE.2015.311 vom 2. November 2016</w:t>
      </w:r>
    </w:p>
    <w:p>
      <w:r>
        <w:t>AG Gerichte, 2016-11-02, DE</w:t>
      </w:r>
    </w:p>
    <w:p>
      <w:r>
        <w:rPr>
          <w:b/>
        </w:rPr>
        <w:t xml:space="preserve">Quelle: </w:t>
      </w:r>
      <w:r>
        <w:t>https://mcp.opencaselaw.ch/entscheid/ag_gerichte_WBE.2015.311</w:t>
      </w:r>
    </w:p>
    <w:p>
      <w:r>
        <w:t>FR: AG_GERICHTE WBE.2015.311 du 2 novembre 2016</w:t>
      </w:r>
    </w:p>
    <w:p>
      <w:r>
        <w:t>IT: AG_GERICHTE WBE.2015.311 del 2 novembre 2016</w:t>
      </w:r>
    </w:p>
    <w:p>
      <w:pPr>
        <w:pStyle w:val="Heading2"/>
      </w:pPr>
      <w:r>
        <w:t>Regeste</w:t>
      </w:r>
    </w:p>
    <w:p>
      <w:r>
        <w:t>Forderung auf Lohnnachzahlung - Es ist unzulässig, mittels eines (negativen) Feststellungsbegehrens eine Beschwerdefrist zu umgehen (Erw. I/2). - Eine den materiellen Verfügungsbegriff erfüllende Anordnung ist mit Beschwerde anzufechten; die Beschwerdefrist begann im konkreten Fall aus Vertrauensschutzgründen erst mit der Mandatierung eines Rechtsanwaltes zu laufen; dieser hätte aber mit der notwendigen Umsicht erkennen können und müssen, dass es sich bei der Anordnung auf Rückzahlung von Weiterbildungskosten um eine Verfügung handelte, auch wenn diese nicht als solche bezeichnet und mit keiner Rechtsmittelbelehrung versehen war (Erw. I/2). - Der zusätzliche Antrag auf Abänderung von Lohnverfügungen stellt im Vergleich zu einer Lohnnachzahlungsforderung, die auf eine Abänderung der darin festgelegten Besoldung hinauslaufen würde, keine unzulässige Beschwerdeänderung dar. Die Erhöhung der Forderung auf Lohnnachzahlung ist jedoch vor Verwaltungsgericht unzulässig (Erw. I/3). - Die (formelle) Rechtskraft von Lohnverfügungen steht einer Lohnnachzahlungsforderung (vorbehältlich der fünfjährigen Verjährungsfrist) nicht entgegen, wenn die Forderung aus geschlechtsspezifischer Lohndiskriminierung abgeleitet wird. Demgegenüber verleiht das allgemeine Rechtsgleichheitsgebot keinen rückwirkenden Anspruch auf rechtsgleiche Besoldung (Erw. I/4).</w:t>
      </w:r>
    </w:p>
    <w:p>
      <w:pPr>
        <w:pStyle w:val="Heading2"/>
      </w:pPr>
      <w:r>
        <w:t>Volltext</w:t>
      </w:r>
    </w:p>
    <w:p>
      <w:r>
        <w:t>Aargau Obergericht Verwaltungsgericht 02.11.2016 WBE.2015.311</w:t>
      </w:r>
    </w:p>
    <w:p>
      <w:r>
        <w:t>Forderung auf Lohnnachzahlung - Es ist unzulässig, mittels eines (negativen) Feststellungsbegehrens eine Beschwerdefrist zu umgehen (Erw. I/2). - Eine den materiellen Verfügungsbegriff erfüllende Anordnung ist mit Beschwerde anzufechten; die Beschwerdefrist begann im konkreten Fall aus Vertrauensschutzgründen erst mit der Mandatierung eines Rechtsanwaltes zu laufen; dieser hätte aber mit der notwendigen Umsicht erkennen können und müssen, dass es sich bei der Anordnung auf Rückzahlung von Weiterbildungskosten um eine Verfügung handelte, auch wenn diese nicht als solche bezeichnet und mit keiner Rechtsmittelbelehrung versehen war (Erw. I/2). - Der zusätzliche Antrag auf Abänderung von Lohnverfügungen stellt im Vergleich zu einer Lohnnachzahlungsforderung, die auf eine Abänderung der darin festgelegten Besoldung hinauslaufen würde, keine unzulässige Beschwerdeänderung dar. Die Erhöhung der Forderung auf Lohnnachzahlung ist jedoch vor Verwaltungsgericht unzulässig (Erw. I/3). - Die (formelle) Rechtskraft von Lohnverfügungen steht einer Lohnnachzahlungsforderung (vorbehältlich der fünfjährigen Verjährungsfrist) nicht entgegen, wenn die Forderung aus geschlechtsspezifischer Lohndiskriminierung abgeleitet wird. Demgegenüber verleiht das allgemeine Rechtsgleichheitsgebot keinen rückwirkenden Anspruch auf rechtsgleiche Besoldung (Erw. I/4).</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