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WBE.2014.29 vom 22. April 2014</w:t>
      </w:r>
    </w:p>
    <w:p>
      <w:r>
        <w:t>AG Gerichte, 2014-04-22, DE</w:t>
      </w:r>
    </w:p>
    <w:p>
      <w:r>
        <w:rPr>
          <w:b/>
        </w:rPr>
        <w:t xml:space="preserve">Quelle: </w:t>
      </w:r>
      <w:r>
        <w:t>https://mcp.opencaselaw.ch/entscheid/ag_gerichte_WBE.2014.29</w:t>
      </w:r>
    </w:p>
    <w:p>
      <w:r>
        <w:t>FR: AG_GERICHTE WBE.2014.29 du 22 avril 2014</w:t>
      </w:r>
    </w:p>
    <w:p>
      <w:r>
        <w:t>IT: AG_GERICHTE WBE.2014.29 del 22 aprile 2014</w:t>
      </w:r>
    </w:p>
    <w:p>
      <w:pPr>
        <w:pStyle w:val="Heading2"/>
      </w:pPr>
      <w:r>
        <w:t>Regeste</w:t>
      </w:r>
    </w:p>
    <w:p>
      <w:r>
        <w:t>Unterangebot; Vorbefassung - Unterangebote sind nicht per se verboten. Umfasst ein ungewöhnlich niedriges Angebot alle geforderten Leistungen bzw. ist die Anbieterin in der Lage, diese Leistungen zum offerierten Preis zu erbringen und verletzt die Anbieterin mit ihrem Angebot auch nicht die Teilnahme-oder Antragsbedingungen, so besteht kein Grund für einen Ausschluss des Angebots vom Verfahren. Dies umso weniger, wenn sich die Vergabestelle der Preisdifferenzen zwischen den Angeboten bewusst ist und zusätzliche Abklärungen vorgenommen hat (Erw. 7.). - Die Frage einer unzulässigen Vorbefassung (§ 28 Abs. 1 lit. h SubmD) stellt sich nicht, wenn die fragliche Person (welche heute für die Zuschlagsempfängerin tätig ist) an der Erstellung der Ausschreibungsunterlagen für das vorliegende Verfahren nicht mitgewirkt hat. Ob die Zuschlagsempfängerin für die Ausarbeitung ihres Angebots aus der Tatsache, dass diese Person aufgrund ihrer früheren Tätigkeit für die Beschwerdeführerin bereits über Vorkenntnisse verfügte, einen Nutzen ziehen konnte und damit allfällige private Rechte der Beschwerdeführerin verletzt wurden, ist submissionsrechtlich nicht relevant (Erw. 8.).</w:t>
      </w:r>
    </w:p>
    <w:p>
      <w:pPr>
        <w:pStyle w:val="Heading2"/>
      </w:pPr>
      <w:r>
        <w:t>Volltext</w:t>
      </w:r>
    </w:p>
    <w:p>
      <w:r>
        <w:t>Aargau Obergericht Verwaltungsgericht 22.04.2014 WBE.2014.29</w:t>
      </w:r>
    </w:p>
    <w:p>
      <w:r>
        <w:t>Unterangebot; Vorbefassung - Unterangebote sind nicht per se verboten. Umfasst ein ungewöhnlich niedriges Angebot alle geforderten Leistungen bzw. ist die Anbieterin in der Lage, diese Leistungen zum offerierten Preis zu erbringen und verletzt die Anbieterin mit ihrem Angebot auch nicht die Teilnahme-oder Antragsbedingungen, so besteht kein Grund für einen Ausschluss des Angebots vom Verfahren. Dies umso weniger, wenn sich die Vergabestelle der Preisdifferenzen zwischen den Angeboten bewusst ist und zusätzliche Abklärungen vorgenommen hat (Erw. 7.). - Die Frage einer unzulässigen Vorbefassung (§ 28 Abs. 1 lit. h SubmD) stellt sich nicht, wenn die fragliche Person (welche heute für die Zuschlagsempfängerin tätig ist) an der Erstellung der Ausschreibungsunterlagen für das vorliegende Verfahren nicht mitgewirkt hat. Ob die Zuschlagsempfängerin für die Ausarbeitung ihres Angebots aus der Tatsache, dass diese Person aufgrund ihrer früheren Tätigkeit für die Beschwerdeführerin bereits über Vorkenntnisse verfügte, einen Nutzen ziehen konnte und damit allfällige private Rechte der Beschwerdeführerin verletzt wurden, ist submissionsrechtlich nicht relevant (Erw. 8.).</w:t>
      </w:r>
    </w:p>
    <w:p>
      <w:r>
        <w:t>Aargau Obergericht Verwaltungsgericht Argovie Verwaltungsgericht Argovia Verwaltungsgericht Obergericht / Verwaltungsgericht / 3. Kammer Obergericht / Verwaltungsgericht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