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WBE.2013.270 vom 17. Oktober 2013</w:t>
      </w:r>
    </w:p>
    <w:p>
      <w:r>
        <w:t>AG Gerichte, 2013-10-17, DE</w:t>
      </w:r>
    </w:p>
    <w:p>
      <w:r>
        <w:rPr>
          <w:b/>
        </w:rPr>
        <w:t xml:space="preserve">Quelle: </w:t>
      </w:r>
      <w:r>
        <w:t>https://mcp.opencaselaw.ch/entscheid/ag_gerichte_WBE.2013.270</w:t>
      </w:r>
    </w:p>
    <w:p>
      <w:r>
        <w:t>FR: AG_GERICHTE WBE.2013.270 du 17 octobre 2013</w:t>
      </w:r>
    </w:p>
    <w:p>
      <w:r>
        <w:t>IT: AG_GERICHTE WBE.2013.270 del 17 ottobre 2013</w:t>
      </w:r>
    </w:p>
    <w:p>
      <w:pPr>
        <w:pStyle w:val="Heading2"/>
      </w:pPr>
      <w:r>
        <w:t>Regeste</w:t>
      </w:r>
    </w:p>
    <w:p>
      <w:r>
        <w:t>Rechtsverzögerung - Die vorgängige Abmahnung durch den Beschwerdeführer ist keine Eintretensvoraussetzung der Rechtsverzögerungsbeschwerde. - Die unterbliebene Anzeige von Verfahrensfehlern im Verwaltungsverfahren ist unter dem Gesichtspunkt von Treu und Glauben zu würdigen.</w:t>
      </w:r>
    </w:p>
    <w:p>
      <w:pPr>
        <w:pStyle w:val="Heading2"/>
      </w:pPr>
      <w:r>
        <w:t>Volltext</w:t>
      </w:r>
    </w:p>
    <w:p>
      <w:r>
        <w:t>Aargau Obergericht Verwaltungsgericht 17.10.2013 WBE.2013.270</w:t>
      </w:r>
    </w:p>
    <w:p>
      <w:r>
        <w:t>Rechtsverzögerung - Die vorgängige Abmahnung durch den Beschwerdeführer ist keine Eintretensvoraussetzung der Rechtsverzögerungsbeschwerde. - Die unterbliebene Anzeige von Verfahrensfehlern im Verwaltungsverfahren ist unter dem Gesichtspunkt von Treu und Glauben zu würdigen.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