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WBE.2012.48 vom 23. August 2012</w:t>
      </w:r>
    </w:p>
    <w:p>
      <w:r>
        <w:t>AG Gerichte, 2012-08-23, DE</w:t>
      </w:r>
    </w:p>
    <w:p>
      <w:r>
        <w:rPr>
          <w:b/>
        </w:rPr>
        <w:t xml:space="preserve">Quelle: </w:t>
      </w:r>
      <w:r>
        <w:t>https://mcp.opencaselaw.ch/entscheid/ag_gerichte_WBE.2012.48</w:t>
      </w:r>
    </w:p>
    <w:p>
      <w:r>
        <w:t>FR: AG_GERICHTE WBE.2012.48 du 23 août 2012</w:t>
      </w:r>
    </w:p>
    <w:p>
      <w:r>
        <w:t>IT: AG_GERICHTE WBE.2012.48 del 23 agosto 2012</w:t>
      </w:r>
    </w:p>
    <w:p>
      <w:pPr>
        <w:pStyle w:val="Heading2"/>
      </w:pPr>
      <w:r>
        <w:t>Regeste</w:t>
      </w:r>
    </w:p>
    <w:p>
      <w:r>
        <w:t>Kleinstbaute - Eine 2.50 m hohe Informations- und Reklamestele mit einer Grundfläche von ca. 0.12 m2 ist eine Kleinstbaute im Sinne von § 49 Abs. 2 lit. d BauV. - Wenn die Gemeinden nichts anderes festlegen, gilt für Kleinstbauten ein Grenzabstand von 2 m, wie er für Klein- und Anbauten vorgeschrieben ist.</w:t>
      </w:r>
    </w:p>
    <w:p>
      <w:pPr>
        <w:pStyle w:val="Heading2"/>
      </w:pPr>
      <w:r>
        <w:t>Volltext</w:t>
      </w:r>
    </w:p>
    <w:p>
      <w:r>
        <w:t>Aargau Obergericht Verwaltungsgericht 23.08.2012 WBE.2012.48</w:t>
      </w:r>
    </w:p>
    <w:p>
      <w:r>
        <w:t>Kleinstbaute - Eine 2.50 m hohe Informations- und Reklamestele mit einer Grundfläche von ca. 0.12 m2 ist eine Kleinstbaute im Sinne von § 49 Abs. 2 lit. d BauV. - Wenn die Gemeinden nichts anderes festlegen, gilt für Kleinstbauten ein Grenzabstand von 2 m, wie er für Klein- und Anbauten vorgeschrieben ist.</w:t>
      </w:r>
    </w:p>
    <w:p>
      <w:r>
        <w:t>Aargau Obergericht Verwaltungsgericht Argovie Verwaltungsgericht Argovia Verwaltungsgericht Obergericht / Verwaltungsgericht / 3. Kammer Obergericht / Verwaltungsgericht / 3.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