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WBE.2012.261 vom 13. Dezember 2012</w:t>
      </w:r>
    </w:p>
    <w:p>
      <w:r>
        <w:t>AG Gerichte, 2012-12-13, DE</w:t>
      </w:r>
    </w:p>
    <w:p>
      <w:r>
        <w:rPr>
          <w:b/>
        </w:rPr>
        <w:t xml:space="preserve">Quelle: </w:t>
      </w:r>
      <w:r>
        <w:t>https://mcp.opencaselaw.ch/entscheid/ag_gerichte_WBE.2012.261</w:t>
      </w:r>
    </w:p>
    <w:p>
      <w:r>
        <w:t>FR: AG_GERICHTE WBE.2012.261 du 13 décembre 2012</w:t>
      </w:r>
    </w:p>
    <w:p>
      <w:r>
        <w:t>IT: AG_GERICHTE WBE.2012.261 del 13 dicembre 2012</w:t>
      </w:r>
    </w:p>
    <w:p>
      <w:pPr>
        <w:pStyle w:val="Heading2"/>
      </w:pPr>
      <w:r>
        <w:t>Regeste</w:t>
      </w:r>
    </w:p>
    <w:p>
      <w:r>
        <w:t>Unterstützungswohnsitz; Abschiebungsverbot - Der Nachweis des Wegzugs obliegt dem Gemeinwesen, das aus dem Wegzug Rechte ableitet, d.h. dessen Unterstützungspflicht mit dem Wegzug grundsätzlich erlischt. - Eine Abschiebung im Sinne von Art. 10 des Zuständigkeitsgesetzes kann auch bei der pflichtwidrigen Verweigerung von Sozialhilfeleistungen vorliegen, welche eine unmittelbar bevorstehende Obdachlosigkeit verhindert hätten.</w:t>
      </w:r>
    </w:p>
    <w:p>
      <w:pPr>
        <w:pStyle w:val="Heading2"/>
      </w:pPr>
      <w:r>
        <w:t>Volltext</w:t>
      </w:r>
    </w:p>
    <w:p>
      <w:r>
        <w:t>Aargau Obergericht Verwaltungsgericht 13.12.2012 WBE.2012.261</w:t>
      </w:r>
    </w:p>
    <w:p>
      <w:r>
        <w:t>Unterstützungswohnsitz; Abschiebungsverbot - Der Nachweis des Wegzugs obliegt dem Gemeinwesen, das aus dem Wegzug Rechte ableitet, d.h. dessen Unterstützungspflicht mit dem Wegzug grundsätzlich erlischt. - Eine Abschiebung im Sinne von Art. 10 des Zuständigkeitsgesetzes kann auch bei der pflichtwidrigen Verweigerung von Sozialhilfeleistungen vorliegen, welche eine unmittelbar bevorstehende Obdachlosigkeit verhindert hätten.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