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WBE.2011.54 vom 19. Mai 2011</w:t>
      </w:r>
    </w:p>
    <w:p>
      <w:r>
        <w:t>AG Gerichte, 2011-05-19, DE</w:t>
      </w:r>
    </w:p>
    <w:p>
      <w:r>
        <w:rPr>
          <w:b/>
        </w:rPr>
        <w:t xml:space="preserve">Quelle: </w:t>
      </w:r>
      <w:r>
        <w:t>https://mcp.opencaselaw.ch/entscheid/ag_gerichte_WBE.2011.54</w:t>
      </w:r>
    </w:p>
    <w:p>
      <w:r>
        <w:t>FR: AG_GERICHTE WBE.2011.54 du 19 mai 2011</w:t>
      </w:r>
    </w:p>
    <w:p>
      <w:r>
        <w:t>IT: AG_GERICHTE WBE.2011.54 del 19 maggio 2011</w:t>
      </w:r>
    </w:p>
    <w:p>
      <w:pPr>
        <w:pStyle w:val="Heading2"/>
      </w:pPr>
      <w:r>
        <w:t>Regeste</w:t>
      </w:r>
    </w:p>
    <w:p>
      <w:r>
        <w:t>Eventualpositionen; "Per-Positionen" Fehlt in den Ausschreibungsunterlagen der klare Hinweis, dass die zu offerierenden Preise für die Eventualpositionen in die Gesamtpreissumme einbezogen und somit bewertet werden, stellt die nachträgliche Berücksichtigung im Rahmen der Bereinigung der Angebote eine unzulässige Änderung der "Spielregeln" des Verfahrens dar und verstösst gegen das Transparenzverbot.</w:t>
      </w:r>
    </w:p>
    <w:p>
      <w:pPr>
        <w:pStyle w:val="Heading2"/>
      </w:pPr>
      <w:r>
        <w:t>Volltext</w:t>
      </w:r>
    </w:p>
    <w:p>
      <w:r>
        <w:t>Aargau Obergericht Verwaltungsgericht 19.05.2011 WBE.2011.54</w:t>
      </w:r>
    </w:p>
    <w:p>
      <w:r>
        <w:t>Eventualpositionen; "Per-Positionen" Fehlt in den Ausschreibungsunterlagen der klare Hinweis, dass die zu offerierenden Preise für die Eventualpositionen in die Gesamtpreissumme einbezogen und somit bewertet werden, stellt die nachträgliche Berücksichtigung im Rahmen der Bereinigung der Angebote eine unzulässige Änderung der "Spielregeln" des Verfahrens dar und verstösst gegen das Transparenzverbot.</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