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WBE.2011.110 vom 27. September 2011</w:t>
      </w:r>
    </w:p>
    <w:p>
      <w:r>
        <w:t>AG Gerichte, 2011-09-27, DE</w:t>
      </w:r>
    </w:p>
    <w:p>
      <w:r>
        <w:rPr>
          <w:b/>
        </w:rPr>
        <w:t xml:space="preserve">Quelle: </w:t>
      </w:r>
      <w:r>
        <w:t>https://mcp.opencaselaw.ch/entscheid/ag_gerichte_WBE.2011.110</w:t>
      </w:r>
    </w:p>
    <w:p>
      <w:r>
        <w:t>FR: AG_GERICHTE WBE.2011.110 du 27 septembre 2011</w:t>
      </w:r>
    </w:p>
    <w:p>
      <w:r>
        <w:t>IT: AG_GERICHTE WBE.2011.110 del 27 settembre 2011</w:t>
      </w:r>
    </w:p>
    <w:p>
      <w:pPr>
        <w:pStyle w:val="Heading2"/>
      </w:pPr>
      <w:r>
        <w:t>Regeste</w:t>
      </w:r>
    </w:p>
    <w:p>
      <w:r>
        <w:t>Inkassohilfe für Kindesunterhaltsansprüche - Die Inkassohilfe wird auf Gesuch des Unterhaltsgläubigers gewährt. - Die Übernahme oder Weiterführung von Betreibungshandlungen kann nur aufgrund rechtlicher Hindernisse verweigert werden. - Die Unentgeltlichkeit der Inkassohilfe bezieht sich nur auf die Dienstleistung der Inkassostelle und nicht auf die Betreibungskosten.</w:t>
      </w:r>
    </w:p>
    <w:p>
      <w:pPr>
        <w:pStyle w:val="Heading2"/>
      </w:pPr>
      <w:r>
        <w:t>Volltext</w:t>
      </w:r>
    </w:p>
    <w:p>
      <w:r>
        <w:t>Aargau Obergericht Verwaltungsgericht 27.09.2011 WBE.2011.110</w:t>
      </w:r>
    </w:p>
    <w:p>
      <w:r>
        <w:t>Inkassohilfe für Kindesunterhaltsansprüche - Die Inkassohilfe wird auf Gesuch des Unterhaltsgläubigers gewährt. - Die Übernahme oder Weiterführung von Betreibungshandlungen kann nur aufgrund rechtlicher Hindernisse verweigert werden. - Die Unentgeltlichkeit der Inkassohilfe bezieht sich nur auf die Dienstleistung der Inkassostelle und nicht auf die Betreibungskosten.</w:t>
      </w:r>
    </w:p>
    <w:p>
      <w:r>
        <w:t>Aargau Obergericht Verwaltungsgericht Argovie Verwaltungsgericht Argovia Verwaltungsgericht Obergericht / Verwaltungsgericht / 1. Kammer Obergericht / Verwaltungsgericht / 1.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