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WBE.2011.1064 vom 22. Oktober 2013</w:t>
      </w:r>
    </w:p>
    <w:p>
      <w:r>
        <w:t>AG Gerichte, 2013-10-22, DE</w:t>
      </w:r>
    </w:p>
    <w:p>
      <w:r>
        <w:rPr>
          <w:b/>
        </w:rPr>
        <w:t xml:space="preserve">Quelle: </w:t>
      </w:r>
      <w:r>
        <w:t>https://mcp.opencaselaw.ch/entscheid/ag_gerichte_WBE.2011.1064</w:t>
      </w:r>
    </w:p>
    <w:p>
      <w:r>
        <w:t>FR: AG_GERICHTE WBE.2011.1064 du 22 octobre 2013</w:t>
      </w:r>
    </w:p>
    <w:p>
      <w:r>
        <w:t>IT: AG_GERICHTE WBE.2011.1064 del 22 ottobre 2013</w:t>
      </w:r>
    </w:p>
    <w:p>
      <w:pPr>
        <w:pStyle w:val="Heading2"/>
      </w:pPr>
      <w:r>
        <w:t>Regeste</w:t>
      </w:r>
    </w:p>
    <w:p>
      <w:r>
        <w:t>Widerruf der Niederlassungsbewilligung; Verstoss gegen die öffentliche Sicherheit und Ordnung; Verhältnismässigkeit - Ein Widerrufsgrund im Sinne von Art. 63 Abs. 1 lit. b AuG liegt vor, wenn die relevanten Aspekte in ihrer Gesamtheit als schwerwiegenden Verstoss gegen die öffentliche Sicherheit und Ordnung zu qualifizieren sind (Erw. 2.3.5.). - Fehlen strafrechtliche Verurteilungen, ist das öffentliche Interesse daran zu bemessen, welche Bereiche der öffentlichen Sicherheit und Ordnung tangiert wurden und wie gravierend der Verstoss dagegen war (Erw. 3.2.1.). - I.c. erweisen sich der Widerruf der Niederlassungsbewilligung und die Wegweisung des Beschwerdeführers aus der Schweiz als verhältnismässig (Erw. 3.).</w:t>
      </w:r>
    </w:p>
    <w:p>
      <w:pPr>
        <w:pStyle w:val="Heading2"/>
      </w:pPr>
      <w:r>
        <w:t>Volltext</w:t>
      </w:r>
    </w:p>
    <w:p>
      <w:r>
        <w:t>Aargau Obergericht Verwaltungsgericht 22.10.2013 WBE.2011.1064</w:t>
      </w:r>
    </w:p>
    <w:p>
      <w:r>
        <w:t>Widerruf der Niederlassungsbewilligung; Verstoss gegen die öffentliche Sicherheit und Ordnung; Verhältnismässigkeit - Ein Widerrufsgrund im Sinne von Art. 63 Abs. 1 lit. b AuG liegt vor, wenn die relevanten Aspekte in ihrer Gesamtheit als schwerwiegenden Verstoss gegen die öffentliche Sicherheit und Ordnung zu qualifizieren sind (Erw. 2.3.5.). - Fehlen strafrechtliche Verurteilungen, ist das öffentliche Interesse daran zu bemessen, welche Bereiche der öffentlichen Sicherheit und Ordnung tangiert wurden und wie gravierend der Verstoss dagegen war (Erw. 3.2.1.). - I.c. erweisen sich der Widerruf der Niederlassungsbewilligung und die Wegweisung des Beschwerdeführers aus der Schweiz als verhältnismässig (Erw. 3.).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