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WBE.2010.46 vom 23. Juni 2010</w:t>
      </w:r>
    </w:p>
    <w:p>
      <w:r>
        <w:t>AG Gerichte, 2010-06-23, DE</w:t>
      </w:r>
    </w:p>
    <w:p>
      <w:r>
        <w:rPr>
          <w:b/>
        </w:rPr>
        <w:t xml:space="preserve">Quelle: </w:t>
      </w:r>
      <w:r>
        <w:t>https://mcp.opencaselaw.ch/entscheid/ag_gerichte_WBE.2010.46</w:t>
      </w:r>
    </w:p>
    <w:p>
      <w:r>
        <w:t>FR: AG_GERICHTE WBE.2010.46 du 23 juin 2010</w:t>
      </w:r>
    </w:p>
    <w:p>
      <w:r>
        <w:t>IT: AG_GERICHTE WBE.2010.46 del 23 giugno 2010</w:t>
      </w:r>
    </w:p>
    <w:p>
      <w:pPr>
        <w:pStyle w:val="Heading2"/>
      </w:pPr>
      <w:r>
        <w:t>Regeste</w:t>
      </w:r>
    </w:p>
    <w:p>
      <w:r>
        <w:t>Sorgfältige und gewissenhafte Ausübung des Anwaltsberufs (Art. 12 lit. a BGFA) Ein Anwalt hat bei der Kontaktierung eines potentiellen Zeugens sicherzustellen, dass sein Vorgehen nicht zu einer Beeinflussung dieser Person bzw. zu einer Verfälschung des Beweisergebnisses führen kann.</w:t>
      </w:r>
    </w:p>
    <w:p>
      <w:pPr>
        <w:pStyle w:val="Heading2"/>
      </w:pPr>
      <w:r>
        <w:t>Volltext</w:t>
      </w:r>
    </w:p>
    <w:p>
      <w:r>
        <w:t>Aargau Obergericht Verwaltungsgericht 23.06.2010 WBE.2010.46</w:t>
      </w:r>
    </w:p>
    <w:p>
      <w:r>
        <w:t>Sorgfältige und gewissenhafte Ausübung des Anwaltsberufs (Art. 12 lit. a BGFA) Ein Anwalt hat bei der Kontaktierung eines potentiellen Zeugens sicherzustellen, dass sein Vorgehen nicht zu einer Beeinflussung dieser Person bzw. zu einer Verfälschung des Beweisergebnisses führen kann.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