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WBE.2010.347 vom 2. März 2011</w:t>
      </w:r>
    </w:p>
    <w:p>
      <w:r>
        <w:t>AG Gerichte, 2011-03-02, DE</w:t>
      </w:r>
    </w:p>
    <w:p>
      <w:r>
        <w:rPr>
          <w:b/>
        </w:rPr>
        <w:t xml:space="preserve">Quelle: </w:t>
      </w:r>
      <w:r>
        <w:t>https://mcp.opencaselaw.ch/entscheid/ag_gerichte_WBE.2010.347</w:t>
      </w:r>
    </w:p>
    <w:p>
      <w:r>
        <w:t>FR: AG_GERICHTE WBE.2010.347 du 2 mars 2011</w:t>
      </w:r>
    </w:p>
    <w:p>
      <w:r>
        <w:t>IT: AG_GERICHTE WBE.2010.347 del 2 marzo 2011</w:t>
      </w:r>
    </w:p>
    <w:p>
      <w:pPr>
        <w:pStyle w:val="Heading2"/>
      </w:pPr>
      <w:r>
        <w:t>Regeste</w:t>
      </w:r>
    </w:p>
    <w:p>
      <w:r>
        <w:t>Politische Rechte - Bei der Unterzeichnung eines Volksbegehrens (Referendum/Initiatve) müssen schreibfähige Stimmberechtigte sowohl den Namensein-trag als auch die Unterschrift eigenhändig vornehmen (Erw. 4.5). - Für Hilfsangaben (Vornamen, Geburtstag und Adresse) gelten keine qualifizierten Formvorschriften. Auch hinsichtlich der Hilfsangaben Eigenhändigkeit zu verlangen, läuft auf überspitzten Formalismus hinaus (Erw. 4.6). - Das Merkblatt der Staatskanzlei vom 8. April 2002, welches vollumfängliche Eigenhändigkeit verlangt, kann künftig insoweit nicht mehr zur Anwendung gelangen (Erw. 6.1).</w:t>
      </w:r>
    </w:p>
    <w:p>
      <w:pPr>
        <w:pStyle w:val="Heading2"/>
      </w:pPr>
      <w:r>
        <w:t>Volltext</w:t>
      </w:r>
    </w:p>
    <w:p>
      <w:r>
        <w:t>Aargau Obergericht Verwaltungsgericht 02.03.2011 WBE.2010.347</w:t>
      </w:r>
    </w:p>
    <w:p>
      <w:r>
        <w:t>Politische Rechte - Bei der Unterzeichnung eines Volksbegehrens (Referendum/Initiatve) müssen schreibfähige Stimmberechtigte sowohl den Namensein-trag als auch die Unterschrift eigenhändig vornehmen (Erw. 4.5). - Für Hilfsangaben (Vornamen, Geburtstag und Adresse) gelten keine qualifizierten Formvorschriften. Auch hinsichtlich der Hilfsangaben Eigenhändigkeit zu verlangen, läuft auf überspitzten Formalismus hinaus (Erw. 4.6). - Das Merkblatt der Staatskanzlei vom 8. April 2002, welches vollumfängliche Eigenhändigkeit verlangt, kann künftig insoweit nicht mehr zur Anwendung gelangen (Erw. 6.1).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