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WBE.2010.273 vom 10. März 2011</w:t>
      </w:r>
    </w:p>
    <w:p>
      <w:r>
        <w:t>AG Gerichte, 2011-03-10, DE</w:t>
      </w:r>
    </w:p>
    <w:p>
      <w:r>
        <w:rPr>
          <w:b/>
        </w:rPr>
        <w:t xml:space="preserve">Quelle: </w:t>
      </w:r>
      <w:r>
        <w:t>https://mcp.opencaselaw.ch/entscheid/ag_gerichte_WBE.2010.273</w:t>
      </w:r>
    </w:p>
    <w:p>
      <w:r>
        <w:t>FR: AG_GERICHTE WBE.2010.273 du 10 mars 2011</w:t>
      </w:r>
    </w:p>
    <w:p>
      <w:r>
        <w:t>IT: AG_GERICHTE WBE.2010.273 del 10 marzo 2011</w:t>
      </w:r>
    </w:p>
    <w:p>
      <w:pPr>
        <w:pStyle w:val="Heading2"/>
      </w:pPr>
      <w:r>
        <w:t>Regeste</w:t>
      </w:r>
    </w:p>
    <w:p>
      <w:r>
        <w:t>Kantonsbeitrag an Institutionen der Tagesbetreuung von Kindern - Die Beteiligung des Kantons an privaten Institutionen der Tagesbetreuung von Kindern setzt eine angemessene Beteiligung der Gemeinde voraus (§ 51 Abs. 2 SPG). - Bei einer Institution, die von mehreren Gemeinden getragen wird, ist die gesamte Beitragshöhe aller beteiligten Gemeinden ohne Rücksicht auf einen internen Verteilschlüssel oder die Beitragsmodalitäten massgebend.</w:t>
      </w:r>
    </w:p>
    <w:p>
      <w:pPr>
        <w:pStyle w:val="Heading2"/>
      </w:pPr>
      <w:r>
        <w:t>Volltext</w:t>
      </w:r>
    </w:p>
    <w:p>
      <w:r>
        <w:t>Aargau Obergericht Verwaltungsgericht 10.03.2011 WBE.2010.273</w:t>
      </w:r>
    </w:p>
    <w:p>
      <w:r>
        <w:t>Kantonsbeitrag an Institutionen der Tagesbetreuung von Kindern - Die Beteiligung des Kantons an privaten Institutionen der Tagesbetreuung von Kindern setzt eine angemessene Beteiligung der Gemeinde voraus (§ 51 Abs. 2 SPG). - Bei einer Institution, die von mehreren Gemeinden getragen wird, ist die gesamte Beitragshöhe aller beteiligten Gemeinden ohne Rücksicht auf einen internen Verteilschlüssel oder die Beitragsmodalitäten massgebend.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