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WBE.2010.192 vom 12. August 2010</w:t>
      </w:r>
    </w:p>
    <w:p>
      <w:r>
        <w:t>AG Gerichte, 2010-08-12, DE</w:t>
      </w:r>
    </w:p>
    <w:p>
      <w:r>
        <w:rPr>
          <w:b/>
        </w:rPr>
        <w:t xml:space="preserve">Quelle: </w:t>
      </w:r>
      <w:r>
        <w:t>https://mcp.opencaselaw.ch/entscheid/ag_gerichte_WBE.2010.192</w:t>
      </w:r>
    </w:p>
    <w:p>
      <w:r>
        <w:t>FR: AG_GERICHTE WBE.2010.192 du 12 août 2010</w:t>
      </w:r>
    </w:p>
    <w:p>
      <w:r>
        <w:t>IT: AG_GERICHTE WBE.2010.192 del 12 agosto 2010</w:t>
      </w:r>
    </w:p>
    <w:p>
      <w:pPr>
        <w:pStyle w:val="Heading2"/>
      </w:pPr>
      <w:r>
        <w:t>Regeste</w:t>
      </w:r>
    </w:p>
    <w:p>
      <w:r>
        <w:t>Wiedererteilung des Führerausweises unter Auflagen nach vorsorglichem Führerausweisentzug. Die Auflage einer mindestens einjährigen Drogenabstinenz ist nicht gerechtfertigt, wenn neben dem jahrelangen, regelmässigen Konsumverhalten des Beschwerdeführers betreffend Cannabis in dessen Vergangenheit weitere Indizien für die Fahreignung beeinträchtigende Faktoren fehlen, und insbesondere das Gutachten keine Hinweise darauf ergibt, dass beim Beschwerdeführer von einer geringen Bereitschaft und Fähigkeit auszugehen ist, zuverlässig zwischen dem Drogenkonsum und der Teilnahme am Strassenverkehr zu trennen, bzw. beim Beschwerdeführer gar eine Neigung besteht, unter Substanzeinfluss zu fahren.</w:t>
      </w:r>
    </w:p>
    <w:p>
      <w:pPr>
        <w:pStyle w:val="Heading2"/>
      </w:pPr>
      <w:r>
        <w:t>Volltext</w:t>
      </w:r>
    </w:p>
    <w:p>
      <w:r>
        <w:t>Aargau Obergericht Verwaltungsgericht 12.08.2010 WBE.2010.192</w:t>
      </w:r>
    </w:p>
    <w:p>
      <w:r>
        <w:t>Wiedererteilung des Führerausweises unter Auflagen nach vorsorglichem Führerausweisentzug. Die Auflage einer mindestens einjährigen Drogenabstinenz ist nicht gerechtfertigt, wenn neben dem jahrelangen, regelmässigen Konsumverhalten des Beschwerdeführers betreffend Cannabis in dessen Vergangenheit weitere Indizien für die Fahreignung beeinträchtigende Faktoren fehlen, und insbesondere das Gutachten keine Hinweise darauf ergibt, dass beim Beschwerdeführer von einer geringen Bereitschaft und Fähigkeit auszugehen ist, zuverlässig zwischen dem Drogenkonsum und der Teilnahme am Strassenverkehr zu trennen, bzw. beim Beschwerdeführer gar eine Neigung besteht, unter Substanzeinfluss zu fahren.</w:t>
      </w:r>
    </w:p>
    <w:p>
      <w:r>
        <w:t>Aargau Obergericht Verwaltungsgericht Argovie Verwaltungsgericht Argovia Verwaltungsgericht Obergericht / Verwaltungsgericht / 1. Kammer Obergericht / Verwaltungsgericht / 1.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