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WBE.2010.128 vom 6. Juli 2011</w:t>
      </w:r>
    </w:p>
    <w:p>
      <w:r>
        <w:t>AG Gerichte, 2011-07-06, DE</w:t>
      </w:r>
    </w:p>
    <w:p>
      <w:r>
        <w:rPr>
          <w:b/>
        </w:rPr>
        <w:t xml:space="preserve">Quelle: </w:t>
      </w:r>
      <w:r>
        <w:t>https://mcp.opencaselaw.ch/entscheid/ag_gerichte_WBE.2010.128</w:t>
      </w:r>
    </w:p>
    <w:p>
      <w:r>
        <w:t>FR: AG_GERICHTE WBE.2010.128 du 6 juillet 2011</w:t>
      </w:r>
    </w:p>
    <w:p>
      <w:r>
        <w:t>IT: AG_GERICHTE WBE.2010.128 del 6 luglio 2011</w:t>
      </w:r>
    </w:p>
    <w:p>
      <w:pPr>
        <w:pStyle w:val="Heading2"/>
      </w:pPr>
      <w:r>
        <w:t>Regeste</w:t>
      </w:r>
    </w:p>
    <w:p>
      <w:r>
        <w:t>Wiederaufnahme - Wiederaufnahme wegen Verletzung von Vorschriften über die rechtmässige Zusammensetzung der entscheidenden Behörde - Subsidiarität des Wiederaufnahmeverfahrens nach § 65 Abs. 3 VRPG - Offen gelassen, ob die Frist nach § 66 Abs. 1 VRPG im Falle der Verletzung der Vorschriften über die rechtmässige Zusammensetzung der entscheidenden Behörde in jedem Fall mit der Zustellung des Entscheids zu laufen beginnt</w:t>
      </w:r>
    </w:p>
    <w:p>
      <w:pPr>
        <w:pStyle w:val="Heading2"/>
      </w:pPr>
      <w:r>
        <w:t>Volltext</w:t>
      </w:r>
    </w:p>
    <w:p>
      <w:r>
        <w:t>Aargau Obergericht Verwaltungsgericht 06.07.2011 WBE.2010.128</w:t>
      </w:r>
    </w:p>
    <w:p>
      <w:r>
        <w:t>Wiederaufnahme - Wiederaufnahme wegen Verletzung von Vorschriften über die rechtmässige Zusammensetzung der entscheidenden Behörde - Subsidiarität des Wiederaufnahmeverfahrens nach § 65 Abs. 3 VRPG - Offen gelassen, ob die Frist nach § 66 Abs. 1 VRPG im Falle der Verletzung der Vorschriften über die rechtmässige Zusammensetzung der entscheidenden Behörde in jedem Fall mit der Zustellung des Entscheids zu laufen beginnt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