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WBE.2009.419 vom 11. März 2010</w:t>
      </w:r>
    </w:p>
    <w:p>
      <w:r>
        <w:t>AG Gerichte, 2010-03-11, DE</w:t>
      </w:r>
    </w:p>
    <w:p>
      <w:r>
        <w:rPr>
          <w:b/>
        </w:rPr>
        <w:t xml:space="preserve">Quelle: </w:t>
      </w:r>
      <w:r>
        <w:t>https://mcp.opencaselaw.ch/entscheid/ag_gerichte_WBE.2009.419</w:t>
      </w:r>
    </w:p>
    <w:p>
      <w:r>
        <w:t>FR: AG_GERICHTE WBE.2009.419 du 11 mars 2010</w:t>
      </w:r>
    </w:p>
    <w:p>
      <w:r>
        <w:t>IT: AG_GERICHTE WBE.2009.419 del 11 marzo 2010</w:t>
      </w:r>
    </w:p>
    <w:p>
      <w:pPr>
        <w:pStyle w:val="Heading2"/>
      </w:pPr>
      <w:r>
        <w:t>Regeste</w:t>
      </w:r>
    </w:p>
    <w:p>
      <w:r>
        <w:t>Notwendigkeit eines Privatfahrzeuges. - Bei einem Mehraufwand von rund einer Stunde pro Arbeitsweg bei der Benützung der öffentlichen Verkehrsmittel ist für eine alleinerziehende Mutter eines Kleinkindes die Zumutbarkeitsgrenze überschritten. - Autokosten als Erwerbsunkosten und situationsbedingte Leistung.</w:t>
      </w:r>
    </w:p>
    <w:p>
      <w:pPr>
        <w:pStyle w:val="Heading2"/>
      </w:pPr>
      <w:r>
        <w:t>Volltext</w:t>
      </w:r>
    </w:p>
    <w:p>
      <w:r>
        <w:t>Aargau Obergericht Verwaltungsgericht 11.03.2010 WBE.2009.419</w:t>
      </w:r>
    </w:p>
    <w:p>
      <w:r>
        <w:t>Notwendigkeit eines Privatfahrzeuges. - Bei einem Mehraufwand von rund einer Stunde pro Arbeitsweg bei der Benützung der öffentlichen Verkehrsmittel ist für eine alleinerziehende Mutter eines Kleinkindes die Zumutbarkeitsgrenze überschritten. - Autokosten als Erwerbsunkosten und situationsbedingte Leistung.</w:t>
      </w:r>
    </w:p>
    <w:p>
      <w:r>
        <w:t>Aargau Obergericht Verwaltungsgericht Argovie Verwaltungsgericht Argovia Verwaltungsgericht Obergericht / Verwaltungsgericht / 1. Kammer Obergericht / Verwaltungsgericht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