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AG_GERICHTE WBE.2009.370 vom 22. September 2010</w:t>
      </w:r>
    </w:p>
    <w:p>
      <w:r>
        <w:t>AG Gerichte, 2010-09-22, DE</w:t>
      </w:r>
    </w:p>
    <w:p>
      <w:r>
        <w:rPr>
          <w:b/>
        </w:rPr>
        <w:t xml:space="preserve">Quelle: </w:t>
      </w:r>
      <w:r>
        <w:t>https://mcp.opencaselaw.ch/entscheid/ag_gerichte_WBE.2009.370</w:t>
      </w:r>
    </w:p>
    <w:p>
      <w:r>
        <w:t>FR: AG_GERICHTE WBE.2009.370 du 22 septembre 2010</w:t>
      </w:r>
    </w:p>
    <w:p>
      <w:r>
        <w:t>IT: AG_GERICHTE WBE.2009.370 del 22 settembre 2010</w:t>
      </w:r>
    </w:p>
    <w:p>
      <w:pPr>
        <w:pStyle w:val="Heading2"/>
      </w:pPr>
      <w:r>
        <w:t>Regeste</w:t>
      </w:r>
    </w:p>
    <w:p>
      <w:r>
        <w:t>Streitgegenstand im steuerrechtlichen Rechtsmittelverfahren. - Streitgegenstand im verwaltungsgerichtlichen Beschwerdeverfahren im Steuerrecht (Erw. 6.3). - Das kantonale Recht enthält keine Bestimmung, wonach im Verlauf des Verfahrens nur Tatsachen und Beweismittel geltend gemacht werden können, die im Schriftenwechsel nicht vorgebracht werden konnten (Erw. 6.4).</w:t>
      </w:r>
    </w:p>
    <w:p>
      <w:pPr>
        <w:pStyle w:val="Heading2"/>
      </w:pPr>
      <w:r>
        <w:t>Volltext</w:t>
      </w:r>
    </w:p>
    <w:p>
      <w:r>
        <w:t>Aargau Obergericht Verwaltungsgericht 22.09.2010 WBE.2009.370</w:t>
      </w:r>
    </w:p>
    <w:p>
      <w:r>
        <w:t>Streitgegenstand im steuerrechtlichen Rechtsmittelverfahren. - Streitgegenstand im verwaltungsgerichtlichen Beschwerdeverfahren im Steuerrecht (Erw. 6.3). - Das kantonale Recht enthält keine Bestimmung, wonach im Verlauf des Verfahrens nur Tatsachen und Beweismittel geltend gemacht werden können, die im Schriftenwechsel nicht vorgebracht werden konnten (Erw. 6.4).</w:t>
      </w:r>
    </w:p>
    <w:p>
      <w:r>
        <w:t>Aargau Obergericht Verwaltungsgericht Argovie Verwaltungsgericht Argovia Verwaltungsgericht Obergericht / Verwaltungsgericht / 2. Kammer Obergericht / Verwaltungsgericht / 2. Kammer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