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WBE.2009.181 vom 16. September 2009</w:t>
      </w:r>
    </w:p>
    <w:p>
      <w:r>
        <w:t>AG Gerichte, 2009-09-16, DE</w:t>
      </w:r>
    </w:p>
    <w:p>
      <w:r>
        <w:rPr>
          <w:b/>
        </w:rPr>
        <w:t xml:space="preserve">Quelle: </w:t>
      </w:r>
      <w:r>
        <w:t>https://mcp.opencaselaw.ch/entscheid/ag_gerichte_WBE.2009.181</w:t>
      </w:r>
    </w:p>
    <w:p>
      <w:r>
        <w:t>FR: AG_GERICHTE WBE.2009.181 du 16 septembre 2009</w:t>
      </w:r>
    </w:p>
    <w:p>
      <w:r>
        <w:t>IT: AG_GERICHTE WBE.2009.181 del 16 settembre 2009</w:t>
      </w:r>
    </w:p>
    <w:p>
      <w:pPr>
        <w:pStyle w:val="Heading2"/>
      </w:pPr>
      <w:r>
        <w:t>Regeste</w:t>
      </w:r>
    </w:p>
    <w:p>
      <w:r>
        <w:t>Arbeitspflicht im Straf- bzw. Massnahmenvollzug - Im Straf- und Massnahmenvollzug besteht auch nach Erreichen des ordentlichen Pensionsalters eine Arbeitspflicht; dies gilt auch für verwahrte Täter (Erw. II/1). - Der Verurteilte wird in angemessener Weise an den Kosten des Vollzugs beteiligt, wenn er grundlos eine ihm zugewiesene Arbeit verweigert (Erw. II/2).</w:t>
      </w:r>
    </w:p>
    <w:p>
      <w:pPr>
        <w:pStyle w:val="Heading2"/>
      </w:pPr>
      <w:r>
        <w:t>Volltext</w:t>
      </w:r>
    </w:p>
    <w:p>
      <w:r>
        <w:t>Aargau Obergericht Verwaltungsgericht 16.09.2009 WBE.2009.181</w:t>
      </w:r>
    </w:p>
    <w:p>
      <w:r>
        <w:t>Arbeitspflicht im Straf- bzw. Massnahmenvollzug - Im Straf- und Massnahmenvollzug besteht auch nach Erreichen des ordentlichen Pensionsalters eine Arbeitspflicht; dies gilt auch für verwahrte Täter (Erw. II/1). - Der Verurteilte wird in angemessener Weise an den Kosten des Vollzugs beteiligt, wenn er grundlos eine ihm zugewiesene Arbeit verweigert (Erw. II/2).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