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WBE.2009.106 vom 2. Dezember 2009</w:t>
      </w:r>
    </w:p>
    <w:p>
      <w:r>
        <w:t>AG Gerichte, 2009-12-02, DE</w:t>
      </w:r>
    </w:p>
    <w:p>
      <w:r>
        <w:rPr>
          <w:b/>
        </w:rPr>
        <w:t xml:space="preserve">Quelle: </w:t>
      </w:r>
      <w:r>
        <w:t>https://mcp.opencaselaw.ch/entscheid/ag_gerichte_WBE.2009.106</w:t>
      </w:r>
    </w:p>
    <w:p>
      <w:r>
        <w:t>FR: AG_GERICHTE WBE.2009.106 du 2 décembre 2009</w:t>
      </w:r>
    </w:p>
    <w:p>
      <w:r>
        <w:t>IT: AG_GERICHTE WBE.2009.106 del 2 dicembre 2009</w:t>
      </w:r>
    </w:p>
    <w:p>
      <w:pPr>
        <w:pStyle w:val="Heading2"/>
      </w:pPr>
      <w:r>
        <w:t>Regeste</w:t>
      </w:r>
    </w:p>
    <w:p>
      <w:r>
        <w:t>Fristwiederherstellung; Kostenverlegung in Steuerverfahren - Vordatierung als Fristwiederherstellungsgrund - Anforderungen an den Empfänger vordatierter behördlicher Sendungen - Grundsätze für die Kostenverlegung und die Ausrichtung von Parteientschädigungen in Steuerverfahren</w:t>
      </w:r>
    </w:p>
    <w:p>
      <w:pPr>
        <w:pStyle w:val="Heading2"/>
      </w:pPr>
      <w:r>
        <w:t>Volltext</w:t>
      </w:r>
    </w:p>
    <w:p>
      <w:r>
        <w:t>Aargau Obergericht Verwaltungsgericht 02.12.2009 WBE.2009.106</w:t>
      </w:r>
    </w:p>
    <w:p>
      <w:r>
        <w:t>Fristwiederherstellung; Kostenverlegung in Steuerverfahren - Vordatierung als Fristwiederherstellungsgrund - Anforderungen an den Empfänger vordatierter behördlicher Sendungen - Grundsätze für die Kostenverlegung und die Ausrichtung von Parteientschädigungen in Steuerverfahren</w:t>
      </w:r>
    </w:p>
    <w:p>
      <w:r>
        <w:t>Aargau Obergericht Verwaltungsgericht Argovie Verwaltungsgericht Argovia Verwaltungsgericht Obergericht / Verwaltungsgericht / 2. Kammer Obergericht / Verwaltungsgericht / 2.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