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WBE.2008.46 vom 13. Mai 2008</w:t>
      </w:r>
    </w:p>
    <w:p>
      <w:r>
        <w:t>AG Gerichte, 2008-05-13, DE</w:t>
      </w:r>
    </w:p>
    <w:p>
      <w:r>
        <w:rPr>
          <w:b/>
        </w:rPr>
        <w:t xml:space="preserve">Quelle: </w:t>
      </w:r>
      <w:r>
        <w:t>https://mcp.opencaselaw.ch/entscheid/ag_gerichte_WBE.2008.46</w:t>
      </w:r>
    </w:p>
    <w:p>
      <w:r>
        <w:t>FR: AG_GERICHTE WBE.2008.46 du 13 mai 2008</w:t>
      </w:r>
    </w:p>
    <w:p>
      <w:r>
        <w:t>IT: AG_GERICHTE WBE.2008.46 del 13 maggio 2008</w:t>
      </w:r>
    </w:p>
    <w:p>
      <w:pPr>
        <w:pStyle w:val="Heading2"/>
      </w:pPr>
      <w:r>
        <w:t>Regeste</w:t>
      </w:r>
    </w:p>
    <w:p>
      <w:r>
        <w:t>Disziplinarverfahren; befristetes Berufsausübungsverbot. - Weiterleiten von Kassibern ist - unabhängig von der strafrichterlichen Beurteilung - ein schwerer Verstoss gegen Art. 12 lit. a BGFA (Erw. 3). - Wahl der geeigneten Sanktion (Erw. 4 ). - Eine befristete Berufseinstellung kann auch für eine erstmalige Disziplinierung angemessen sein (Erw. 5)</w:t>
      </w:r>
    </w:p>
    <w:p>
      <w:pPr>
        <w:pStyle w:val="Heading2"/>
      </w:pPr>
      <w:r>
        <w:t>Volltext</w:t>
      </w:r>
    </w:p>
    <w:p>
      <w:r>
        <w:t>Aargau Obergericht Verwaltungsgericht 13.05.2008 WBE.2008.46</w:t>
      </w:r>
    </w:p>
    <w:p>
      <w:r>
        <w:t>Disziplinarverfahren; befristetes Berufsausübungsverbot. - Weiterleiten von Kassibern ist - unabhängig von der strafrichterlichen Beurteilung - ein schwerer Verstoss gegen Art. 12 lit. a BGFA (Erw. 3). - Wahl der geeigneten Sanktion (Erw. 4 ). - Eine befristete Berufseinstellung kann auch für eine erstmalige Disziplinierung angemessen sein (Erw. 5)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