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WBE.2008.328 vom 17. Juni 2009</w:t>
      </w:r>
    </w:p>
    <w:p>
      <w:r>
        <w:t>AG Gerichte, 2009-06-17, DE</w:t>
      </w:r>
    </w:p>
    <w:p>
      <w:r>
        <w:rPr>
          <w:b/>
        </w:rPr>
        <w:t xml:space="preserve">Quelle: </w:t>
      </w:r>
      <w:r>
        <w:t>https://mcp.opencaselaw.ch/entscheid/ag_gerichte_WBE.2008.328</w:t>
      </w:r>
    </w:p>
    <w:p>
      <w:r>
        <w:t>FR: AG_GERICHTE WBE.2008.328 du 17 juin 2009</w:t>
      </w:r>
    </w:p>
    <w:p>
      <w:r>
        <w:t>IT: AG_GERICHTE WBE.2008.328 del 17 giugno 2009</w:t>
      </w:r>
    </w:p>
    <w:p>
      <w:pPr>
        <w:pStyle w:val="Heading2"/>
      </w:pPr>
      <w:r>
        <w:t>Regeste</w:t>
      </w:r>
    </w:p>
    <w:p>
      <w:r>
        <w:t>Feststellungsverfügungen im Steuerrecht (Praxisverschärfung) - In Veranlagungen sind über die Festlegung der Steuerfaktoren hinausgehende rechtskraftfähige Feststellungen ausgeschlossen (Erw. 1). - Selbstständige Feststellungsverfügungen sind im Steuerrecht, abgesehen vom Fall der Feststellung der Steuerpflicht, grundsätzlich ausgeschlossen (Erw. 2 f.).</w:t>
      </w:r>
    </w:p>
    <w:p>
      <w:pPr>
        <w:pStyle w:val="Heading2"/>
      </w:pPr>
      <w:r>
        <w:t>Volltext</w:t>
      </w:r>
    </w:p>
    <w:p>
      <w:r>
        <w:t>Aargau Obergericht Verwaltungsgericht 17.06.2009 WBE.2008.328</w:t>
      </w:r>
    </w:p>
    <w:p>
      <w:r>
        <w:t>Feststellungsverfügungen im Steuerrecht (Praxisverschärfung) - In Veranlagungen sind über die Festlegung der Steuerfaktoren hinausgehende rechtskraftfähige Feststellungen ausgeschlossen (Erw. 1). - Selbstständige Feststellungsverfügungen sind im Steuerrecht, abgesehen vom Fall der Feststellung der Steuerpflicht, grundsätzlich ausgeschlossen (Erw. 2 f.).</w:t>
      </w:r>
    </w:p>
    <w:p>
      <w:r>
        <w:t>Aargau Obergericht Verwaltungsgericht Argovie Verwaltungsgericht Argovia Verwaltungsgericht Obergericht / Verwaltungsgericht / 2. Kammer Obergericht / Verwaltungsgericht / 2.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