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WBE.2008.238 vom 21. Oktober 2009</w:t>
      </w:r>
    </w:p>
    <w:p>
      <w:r>
        <w:t>AG Gerichte, 2009-10-21, DE</w:t>
      </w:r>
    </w:p>
    <w:p>
      <w:r>
        <w:rPr>
          <w:b/>
        </w:rPr>
        <w:t xml:space="preserve">Quelle: </w:t>
      </w:r>
      <w:r>
        <w:t>https://mcp.opencaselaw.ch/entscheid/ag_gerichte_WBE.2008.238</w:t>
      </w:r>
    </w:p>
    <w:p>
      <w:r>
        <w:t>FR: AG_GERICHTE WBE.2008.238 du 21 octobre 2009</w:t>
      </w:r>
    </w:p>
    <w:p>
      <w:r>
        <w:t>IT: AG_GERICHTE WBE.2008.238 del 21 ottobre 2009</w:t>
      </w:r>
    </w:p>
    <w:p>
      <w:pPr>
        <w:pStyle w:val="Heading2"/>
      </w:pPr>
      <w:r>
        <w:t>Regeste</w:t>
      </w:r>
    </w:p>
    <w:p>
      <w:r>
        <w:t>Abschreibungen auf dem Geschäftsvermögen gemäss § 36 Abs. 2 lit. a StG: - Die Aufrechnung eines Privatanteils an einer Abschreibung auf einem mittels der Präponderanzmethode dem Geschäftsvermögen zugeordneten Vermögenswert erweist sich als unzulässig (Erw. 6). - Der auf die untergeordnete private Nutzung entfallende Anteil der Entwertung ist im Rahmen des Privatanteils an den Betriebskosten zu berücksichtigen (Erw. 7). - Zum Nachweis einer derart überwiegenden geschäftlichen Nutzung, die ein Abweichen zu Gunsten des Beschwerdeführers vom im Merkblatt N1/2001 der ESTV festgesetzten Wert für ein wenig privat benütztes Auto rechtfertigen würde, ist ein eigentliches Fahrtenbuch mit detaillierten Angaben zu verlangen (Erw. 7.2).</w:t>
      </w:r>
    </w:p>
    <w:p>
      <w:pPr>
        <w:pStyle w:val="Heading2"/>
      </w:pPr>
      <w:r>
        <w:t>Volltext</w:t>
      </w:r>
    </w:p>
    <w:p>
      <w:r>
        <w:t>Aargau Obergericht Verwaltungsgericht 21.10.2009 WBE.2008.238</w:t>
      </w:r>
    </w:p>
    <w:p>
      <w:r>
        <w:t>Abschreibungen auf dem Geschäftsvermögen gemäss § 36 Abs. 2 lit. a StG: - Die Aufrechnung eines Privatanteils an einer Abschreibung auf einem mittels der Präponderanzmethode dem Geschäftsvermögen zugeordneten Vermögenswert erweist sich als unzulässig (Erw. 6). - Der auf die untergeordnete private Nutzung entfallende Anteil der Entwertung ist im Rahmen des Privatanteils an den Betriebskosten zu berücksichtigen (Erw. 7). - Zum Nachweis einer derart überwiegenden geschäftlichen Nutzung, die ein Abweichen zu Gunsten des Beschwerdeführers vom im Merkblatt N1/2001 der ESTV festgesetzten Wert für ein wenig privat benütztes Auto rechtfertigen würde, ist ein eigentliches Fahrtenbuch mit detaillierten Angaben zu verlangen (Erw. 7.2).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