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WBE.2007.293 vom 27. Mai 2008</w:t>
      </w:r>
    </w:p>
    <w:p>
      <w:r>
        <w:t>AG Gerichte, 2008-05-27, DE</w:t>
      </w:r>
    </w:p>
    <w:p>
      <w:r>
        <w:rPr>
          <w:b/>
        </w:rPr>
        <w:t xml:space="preserve">Quelle: </w:t>
      </w:r>
      <w:r>
        <w:t>https://mcp.opencaselaw.ch/entscheid/ag_gerichte_WBE.2007.293</w:t>
      </w:r>
    </w:p>
    <w:p>
      <w:r>
        <w:t>FR: AG_GERICHTE WBE.2007.293 du 27 mai 2008</w:t>
      </w:r>
    </w:p>
    <w:p>
      <w:r>
        <w:t>IT: AG_GERICHTE WBE.2007.293 del 27 maggio 2008</w:t>
      </w:r>
    </w:p>
    <w:p>
      <w:pPr>
        <w:pStyle w:val="Heading2"/>
      </w:pPr>
      <w:r>
        <w:t>Regeste</w:t>
      </w:r>
    </w:p>
    <w:p>
      <w:r>
        <w:t>Steuerumgehung; Verkauf einer Diskontobligation ohne überwiegende Einmalverzinsung. - Besteuerung des Einmalzinsanteils (Erw. 1). - Der Steuerpflichtige kann den Verkaufszeitpunkt frei wählen und auf die entsprechenden gesetzlichen Bestimmungen bzw. Merkblätter vertrauen (Erw. 3). - Die Veräusserung einer Diskontobligation acht Tage vor dem Verfall an die Bank stellt vorliegend eine Steuerumgehung dar (Erw. 4).</w:t>
      </w:r>
    </w:p>
    <w:p>
      <w:pPr>
        <w:pStyle w:val="Heading2"/>
      </w:pPr>
      <w:r>
        <w:t>Volltext</w:t>
      </w:r>
    </w:p>
    <w:p>
      <w:r>
        <w:t>Aargau Obergericht Verwaltungsgericht 27.05.2008 WBE.2007.293</w:t>
      </w:r>
    </w:p>
    <w:p>
      <w:r>
        <w:t>Steuerumgehung; Verkauf einer Diskontobligation ohne überwiegende Einmalverzinsung. - Besteuerung des Einmalzinsanteils (Erw. 1). - Der Steuerpflichtige kann den Verkaufszeitpunkt frei wählen und auf die entsprechenden gesetzlichen Bestimmungen bzw. Merkblätter vertrauen (Erw. 3). - Die Veräusserung einer Diskontobligation acht Tage vor dem Verfall an die Bank stellt vorliegend eine Steuerumgehung dar (Erw. 4).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