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WBE.2007.257 vom 30. April 2008</w:t>
      </w:r>
    </w:p>
    <w:p>
      <w:r>
        <w:t>AG Gerichte, 2008-04-30, DE</w:t>
      </w:r>
    </w:p>
    <w:p>
      <w:r>
        <w:rPr>
          <w:b/>
        </w:rPr>
        <w:t xml:space="preserve">Quelle: </w:t>
      </w:r>
      <w:r>
        <w:t>https://mcp.opencaselaw.ch/entscheid/ag_gerichte_WBE.2007.257</w:t>
      </w:r>
    </w:p>
    <w:p>
      <w:r>
        <w:t>FR: AG_GERICHTE WBE.2007.257 du 30 avril 2008</w:t>
      </w:r>
    </w:p>
    <w:p>
      <w:r>
        <w:t>IT: AG_GERICHTE WBE.2007.257 del 30 aprile 2008</w:t>
      </w:r>
    </w:p>
    <w:p>
      <w:pPr>
        <w:pStyle w:val="Heading2"/>
      </w:pPr>
      <w:r>
        <w:t>Regeste</w:t>
      </w:r>
    </w:p>
    <w:p>
      <w:r>
        <w:t>Interkantonaler Unterstützungswohnsitz bei anerkannten Flüchtlingen. - Bei anerkannten Flüchtlingen, welche die Niederlassungsbewilligung erlangt haben, sind die Bestimmungen des ZUG über die Unterstützung von Ausländern mit Wohnsitz in der Schweiz (Art. 20 i.V.m. Art. 4–10 ZUG) anwendbar (Erw. 1). - Voraussetzungen eines Richtigstellungsbegehrens nach Art. 28 ZUG (Erw. 2.1). - Bestimmung des Unterstützungswohnsitzes (Erw. 2.3 und 2.4).</w:t>
      </w:r>
    </w:p>
    <w:p>
      <w:pPr>
        <w:pStyle w:val="Heading2"/>
      </w:pPr>
      <w:r>
        <w:t>Volltext</w:t>
      </w:r>
    </w:p>
    <w:p>
      <w:r>
        <w:t>Aargau Obergericht Verwaltungsgericht 30.04.2008 WBE.2007.257</w:t>
      </w:r>
    </w:p>
    <w:p>
      <w:r>
        <w:t>Interkantonaler Unterstützungswohnsitz bei anerkannten Flüchtlingen. - Bei anerkannten Flüchtlingen, welche die Niederlassungsbewilligung erlangt haben, sind die Bestimmungen des ZUG über die Unterstützung von Ausländern mit Wohnsitz in der Schweiz (Art. 20 i.V.m. Art. 4–10 ZUG) anwendbar (Erw. 1). - Voraussetzungen eines Richtigstellungsbegehrens nach Art. 28 ZUG (Erw. 2.1). - Bestimmung des Unterstützungswohnsitzes (Erw. 2.3 und 2.4).</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