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WBE.2007.167 vom 3. Oktober 2007</w:t>
      </w:r>
    </w:p>
    <w:p>
      <w:r>
        <w:t>AG Gerichte, 2007-10-03, DE</w:t>
      </w:r>
    </w:p>
    <w:p>
      <w:r>
        <w:rPr>
          <w:b/>
        </w:rPr>
        <w:t xml:space="preserve">Quelle: </w:t>
      </w:r>
      <w:r>
        <w:t>https://mcp.opencaselaw.ch/entscheid/ag_gerichte_WBE.2007.167</w:t>
      </w:r>
    </w:p>
    <w:p>
      <w:r>
        <w:t>FR: AG_GERICHTE WBE.2007.167 du 3 octobre 2007</w:t>
      </w:r>
    </w:p>
    <w:p>
      <w:r>
        <w:t>IT: AG_GERICHTE WBE.2007.167 del 3 ottobre 2007</w:t>
      </w:r>
    </w:p>
    <w:p>
      <w:pPr>
        <w:pStyle w:val="Heading2"/>
      </w:pPr>
      <w:r>
        <w:t>Regeste</w:t>
      </w:r>
    </w:p>
    <w:p>
      <w:r>
        <w:t>Varianten; Qualitätsbewertung; Preisbewertung. - Varianten (§ 16 SubmD): Bei der Beurteilung der Gleichwertigkeit einer Variante mit der Amtslösung kommt der Vergabestelle ein grosser Ermessensspielraum zu (Erw. 3.2-3.3). - Allgemeine Ausführungen zum Gesamteindruck genügen den Anforderungen an die Prüfung der Qualitätskriterien mit einer Gewichtung von 50 % nicht (Erw. 7.1.3-7.5).</w:t>
      </w:r>
    </w:p>
    <w:p>
      <w:pPr>
        <w:pStyle w:val="Heading2"/>
      </w:pPr>
      <w:r>
        <w:t>Volltext</w:t>
      </w:r>
    </w:p>
    <w:p>
      <w:r>
        <w:t>Aargau Obergericht Verwaltungsgericht 03.10.2007 WBE.2007.167</w:t>
      </w:r>
    </w:p>
    <w:p>
      <w:r>
        <w:t>Varianten; Qualitätsbewertung; Preisbewertung. - Varianten (§ 16 SubmD): Bei der Beurteilung der Gleichwertigkeit einer Variante mit der Amtslösung kommt der Vergabestelle ein grosser Ermessensspielraum zu (Erw. 3.2-3.3). - Allgemeine Ausführungen zum Gesamteindruck genügen den Anforderungen an die Prüfung der Qualitätskriterien mit einer Gewichtung von 50 % nicht (Erw. 7.1.3-7.5).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