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WBE.2007.163 vom 7. April 2008</w:t>
      </w:r>
    </w:p>
    <w:p>
      <w:r>
        <w:t>AG Gerichte, 2008-04-07, DE</w:t>
      </w:r>
    </w:p>
    <w:p>
      <w:r>
        <w:rPr>
          <w:b/>
        </w:rPr>
        <w:t xml:space="preserve">Quelle: </w:t>
      </w:r>
      <w:r>
        <w:t>https://mcp.opencaselaw.ch/entscheid/ag_gerichte_WBE.2007.163</w:t>
      </w:r>
    </w:p>
    <w:p>
      <w:r>
        <w:t>FR: AG_GERICHTE WBE.2007.163 du 7 avril 2008</w:t>
      </w:r>
    </w:p>
    <w:p>
      <w:r>
        <w:t>IT: AG_GERICHTE WBE.2007.163 del 7 aprile 2008</w:t>
      </w:r>
    </w:p>
    <w:p>
      <w:pPr>
        <w:pStyle w:val="Heading2"/>
      </w:pPr>
      <w:r>
        <w:t>Regeste</w:t>
      </w:r>
    </w:p>
    <w:p>
      <w:r>
        <w:t>Verdeckte Gewinnausschüttung; "Darlehensgewährung" im Kontokorrentverhältnis. - Die Beweislast für das Missverhältnis zwischen den gegenseitigen Leistungen trägt die Veranlagungsbehörde. - Die Beurteilung, ob eine verdeckte Gewinnausschüttung vorliegt, erfolgt bei einem Kontokorrentverhältnis auf den Zeitpunkt der Saldoziehung.</w:t>
      </w:r>
    </w:p>
    <w:p>
      <w:pPr>
        <w:pStyle w:val="Heading2"/>
      </w:pPr>
      <w:r>
        <w:t>Volltext</w:t>
      </w:r>
    </w:p>
    <w:p>
      <w:r>
        <w:t>Aargau Obergericht Verwaltungsgericht 07.04.2008 WBE.2007.163</w:t>
      </w:r>
    </w:p>
    <w:p>
      <w:r>
        <w:t>Verdeckte Gewinnausschüttung; "Darlehensgewährung" im Kontokorrentverhältnis. - Die Beweislast für das Missverhältnis zwischen den gegenseitigen Leistungen trägt die Veranlagungsbehörde. - Die Beurteilung, ob eine verdeckte Gewinnausschüttung vorliegt, erfolgt bei einem Kontokorrentverhältnis auf den Zeitpunkt der Saldoziehung.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