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WBE.2006.368 vom 25. Januar 2010</w:t>
      </w:r>
    </w:p>
    <w:p>
      <w:r>
        <w:t>AG Gerichte, 2010-01-25, DE</w:t>
      </w:r>
    </w:p>
    <w:p>
      <w:r>
        <w:rPr>
          <w:b/>
        </w:rPr>
        <w:t xml:space="preserve">Quelle: </w:t>
      </w:r>
      <w:r>
        <w:t>https://mcp.opencaselaw.ch/entscheid/ag_gerichte_WBE.2006.368</w:t>
      </w:r>
    </w:p>
    <w:p>
      <w:r>
        <w:t>FR: AG_GERICHTE WBE.2006.368 du 25 janvier 2010</w:t>
      </w:r>
    </w:p>
    <w:p>
      <w:r>
        <w:t>IT: AG_GERICHTE WBE.2006.368 del 25 gennaio 2010</w:t>
      </w:r>
    </w:p>
    <w:p>
      <w:pPr>
        <w:pStyle w:val="Heading2"/>
      </w:pPr>
      <w:r>
        <w:t>Regeste</w:t>
      </w:r>
    </w:p>
    <w:p>
      <w:r>
        <w:t>Ehehafte Wasserrechte. - Im Kanton Aargau haben sich Nutzungsrechte an Gewässern aus althergebrachten Rechtstiteln als privatrechtliche Eigentumsrechte erhalten. - Begriff und Inhalt des dinglichen Rechts bestimmt das Privatrecht. - Die ehehaften Wasserrechte sind von der Eigentumsgarantie geschützt.</w:t>
      </w:r>
    </w:p>
    <w:p>
      <w:pPr>
        <w:pStyle w:val="Heading2"/>
      </w:pPr>
      <w:r>
        <w:t>Volltext</w:t>
      </w:r>
    </w:p>
    <w:p>
      <w:r>
        <w:t>Aargau Obergericht Verwaltungsgericht 25.01.2010 WBE.2006.368</w:t>
      </w:r>
    </w:p>
    <w:p>
      <w:r>
        <w:t>Ehehafte Wasserrechte. - Im Kanton Aargau haben sich Nutzungsrechte an Gewässern aus althergebrachten Rechtstiteln als privatrechtliche Eigentumsrechte erhalten. - Begriff und Inhalt des dinglichen Rechts bestimmt das Privatrecht. - Die ehehaften Wasserrechte sind von der Eigentumsgarantie geschützt.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