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WBE.2006.207 vom 23. August 2007</w:t>
      </w:r>
    </w:p>
    <w:p>
      <w:r>
        <w:t>AG Gerichte, 2007-08-23, DE</w:t>
      </w:r>
    </w:p>
    <w:p>
      <w:r>
        <w:rPr>
          <w:b/>
        </w:rPr>
        <w:t xml:space="preserve">Quelle: </w:t>
      </w:r>
      <w:r>
        <w:t>https://mcp.opencaselaw.ch/entscheid/ag_gerichte_WBE.2006.207</w:t>
      </w:r>
    </w:p>
    <w:p>
      <w:r>
        <w:t>FR: AG_GERICHTE WBE.2006.207 du 23 août 2007</w:t>
      </w:r>
    </w:p>
    <w:p>
      <w:r>
        <w:t>IT: AG_GERICHTE WBE.2006.207 del 23 agosto 2007</w:t>
      </w:r>
    </w:p>
    <w:p>
      <w:pPr>
        <w:pStyle w:val="Heading2"/>
      </w:pPr>
      <w:r>
        <w:t>Regeste</w:t>
      </w:r>
    </w:p>
    <w:p>
      <w:r>
        <w:t>Ausserordentliche Einkünfte (§ 263 Abs. 2 StG). - Dividenden. Kriterium für die Qualifikation von Dividenden als ausserordentliche Einkünfte ist die Aussergewöhnlichkeit der Dividende, nicht deren Besteuerungswürdigkeit (Erw. 3). - Beurteilung der Aussergewöhnlichkeit bei einer jungen Firma, die noch gar keine klare Dividendenpolitik haben konnte: Berücksichtigung der Dividendenpolitik der folgenden (mindestens) zwei Geschäftsjahre (Erw. 3.5, 4).</w:t>
      </w:r>
    </w:p>
    <w:p>
      <w:pPr>
        <w:pStyle w:val="Heading2"/>
      </w:pPr>
      <w:r>
        <w:t>Volltext</w:t>
      </w:r>
    </w:p>
    <w:p>
      <w:r>
        <w:t>Aargau Obergericht Verwaltungsgericht 23.08.2007 WBE.2006.207</w:t>
      </w:r>
    </w:p>
    <w:p>
      <w:r>
        <w:t>Ausserordentliche Einkünfte (§ 263 Abs. 2 StG). - Dividenden. Kriterium für die Qualifikation von Dividenden als ausserordentliche Einkünfte ist die Aussergewöhnlichkeit der Dividende, nicht deren Besteuerungswürdigkeit (Erw. 3). - Beurteilung der Aussergewöhnlichkeit bei einer jungen Firma, die noch gar keine klare Dividendenpolitik haben konnte: Berücksichtigung der Dividendenpolitik der folgenden (mindestens) zwei Geschäftsjahre (Erw. 3.5, 4).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