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WBE.2006.172 vom 29. März 2007</w:t>
      </w:r>
    </w:p>
    <w:p>
      <w:r>
        <w:t>AG Gerichte, 2007-03-29, DE</w:t>
      </w:r>
    </w:p>
    <w:p>
      <w:r>
        <w:rPr>
          <w:b/>
        </w:rPr>
        <w:t xml:space="preserve">Quelle: </w:t>
      </w:r>
      <w:r>
        <w:t>https://mcp.opencaselaw.ch/entscheid/ag_gerichte_WBE.2006.172</w:t>
      </w:r>
    </w:p>
    <w:p>
      <w:r>
        <w:t>FR: AG_GERICHTE WBE.2006.172 du 29 mars 2007</w:t>
      </w:r>
    </w:p>
    <w:p>
      <w:r>
        <w:t>IT: AG_GERICHTE WBE.2006.172 del 29 marzo 2007</w:t>
      </w:r>
    </w:p>
    <w:p>
      <w:pPr>
        <w:pStyle w:val="Heading2"/>
      </w:pPr>
      <w:r>
        <w:t>Regeste</w:t>
      </w:r>
    </w:p>
    <w:p>
      <w:r>
        <w:t>Steuerbare Nebeneinkünfte. - Nebeneinkünfte des Arbeitnehmers stellen auch dann steuerbares Einkommen dar, wenn sie nicht von der Arbeitgeberfirma, sondern von deren Alleinaktionär stammen, aber in einem unmittelbaren wirtschaftlichen Zusammenhang mit dem Arbeitsverhältnis stehen.</w:t>
      </w:r>
    </w:p>
    <w:p>
      <w:pPr>
        <w:pStyle w:val="Heading2"/>
      </w:pPr>
      <w:r>
        <w:t>Volltext</w:t>
      </w:r>
    </w:p>
    <w:p>
      <w:r>
        <w:t>Aargau Obergericht Verwaltungsgericht 29.03.2007 WBE.2006.172</w:t>
      </w:r>
    </w:p>
    <w:p>
      <w:r>
        <w:t>Steuerbare Nebeneinkünfte. - Nebeneinkünfte des Arbeitnehmers stellen auch dann steuerbares Einkommen dar, wenn sie nicht von der Arbeitgeberfirma, sondern von deren Alleinaktionär stammen, aber in einem unmittelbaren wirtschaftlichen Zusammenhang mit dem Arbeitsverhältnis stehen.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