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WBE.2006.119 vom 15. Februar 2008</w:t>
      </w:r>
    </w:p>
    <w:p>
      <w:r>
        <w:t>AG Gerichte, 2008-02-15, DE</w:t>
      </w:r>
    </w:p>
    <w:p>
      <w:r>
        <w:rPr>
          <w:b/>
        </w:rPr>
        <w:t xml:space="preserve">Quelle: </w:t>
      </w:r>
      <w:r>
        <w:t>https://mcp.opencaselaw.ch/entscheid/ag_gerichte_WBE.2006.119</w:t>
      </w:r>
    </w:p>
    <w:p>
      <w:r>
        <w:t>FR: AG_GERICHTE WBE.2006.119 du 15 février 2008</w:t>
      </w:r>
    </w:p>
    <w:p>
      <w:r>
        <w:t>IT: AG_GERICHTE WBE.2006.119 del 15 febbraio 2008</w:t>
      </w:r>
    </w:p>
    <w:p>
      <w:pPr>
        <w:pStyle w:val="Heading2"/>
      </w:pPr>
      <w:r>
        <w:t>Regeste</w:t>
      </w:r>
    </w:p>
    <w:p>
      <w:r>
        <w:t>Umweltverträglichkeit einer regionalen Sportanlage. - Beurteilung nach Art. 15 USG. - Verwendung der 18. (deutschen) Verordnung zur Durchführung des Bundes-Immissionsschutzgesetzes (18. BImSchV; Sportanlagenlärmschutzverordnung) als Entscheidungshilfe.</w:t>
      </w:r>
    </w:p>
    <w:p>
      <w:pPr>
        <w:pStyle w:val="Heading2"/>
      </w:pPr>
      <w:r>
        <w:t>Volltext</w:t>
      </w:r>
    </w:p>
    <w:p>
      <w:r>
        <w:t>Aargau Obergericht Verwaltungsgericht 15.02.2008 WBE.2006.119</w:t>
      </w:r>
    </w:p>
    <w:p>
      <w:r>
        <w:t>Umweltverträglichkeit einer regionalen Sportanlage. - Beurteilung nach Art. 15 USG. - Verwendung der 18. (deutschen) Verordnung zur Durchführung des Bundes-Immissionsschutzgesetzes (18. BImSchV; Sportanlagenlärmschutzverordnung) als Entscheidungshilfe.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