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WBE.2005.326 vom 16. März 2007</w:t>
      </w:r>
    </w:p>
    <w:p>
      <w:r>
        <w:t>AG Gerichte, 2007-03-16, DE</w:t>
      </w:r>
    </w:p>
    <w:p>
      <w:r>
        <w:rPr>
          <w:b/>
        </w:rPr>
        <w:t xml:space="preserve">Quelle: </w:t>
      </w:r>
      <w:r>
        <w:t>https://mcp.opencaselaw.ch/entscheid/ag_gerichte_WBE.2005.326</w:t>
      </w:r>
    </w:p>
    <w:p>
      <w:r>
        <w:t>FR: AG_GERICHTE WBE.2005.326 du 16 mars 2007</w:t>
      </w:r>
    </w:p>
    <w:p>
      <w:r>
        <w:t>IT: AG_GERICHTE WBE.2005.326 del 16 marzo 2007</w:t>
      </w:r>
    </w:p>
    <w:p>
      <w:pPr>
        <w:pStyle w:val="Heading2"/>
      </w:pPr>
      <w:r>
        <w:t>Regeste</w:t>
      </w:r>
    </w:p>
    <w:p>
      <w:r>
        <w:t>Lage und Höhe eines Cheminée-Kamins - Keine Pflicht zum Einbezug der Heizungsanlage in das Baubewilligungsverfahren für das Cheminée (Erw. 3). - Verhältnis der Vorschriften über den Brand- und den Immissionsschutz; Erleichterungen für selten benutzte Anlagen (Erw. 4).</w:t>
      </w:r>
    </w:p>
    <w:p>
      <w:pPr>
        <w:pStyle w:val="Heading2"/>
      </w:pPr>
      <w:r>
        <w:t>Volltext</w:t>
      </w:r>
    </w:p>
    <w:p>
      <w:r>
        <w:t>Aargau Obergericht Verwaltungsgericht 16.03.2007 WBE.2005.326</w:t>
      </w:r>
    </w:p>
    <w:p>
      <w:r>
        <w:t>Lage und Höhe eines Cheminée-Kamins - Keine Pflicht zum Einbezug der Heizungsanlage in das Baubewilligungsverfahren für das Cheminée (Erw. 3). - Verhältnis der Vorschriften über den Brand- und den Immissionsschutz; Erleichterungen für selten benutzte Anlagen (Erw. 4).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