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VKL.2014.22 vom 9. Juni 2015</w:t>
      </w:r>
    </w:p>
    <w:p>
      <w:r>
        <w:t>AG Gerichte, 2015-06-09, DE</w:t>
      </w:r>
    </w:p>
    <w:p>
      <w:r>
        <w:rPr>
          <w:b/>
        </w:rPr>
        <w:t xml:space="preserve">Quelle: </w:t>
      </w:r>
      <w:r>
        <w:t>https://mcp.opencaselaw.ch/entscheid/ag_gerichte_VKL.2014.22</w:t>
      </w:r>
    </w:p>
    <w:p>
      <w:r>
        <w:t>FR: AG_GERICHTE VKL.2014.22 du 9 juin 2015</w:t>
      </w:r>
    </w:p>
    <w:p>
      <w:r>
        <w:t>IT: AG_GERICHTE VKL.2014.22 del 9 giugno 2015</w:t>
      </w:r>
    </w:p>
    <w:p>
      <w:pPr>
        <w:pStyle w:val="Heading2"/>
      </w:pPr>
      <w:r>
        <w:t>Regeste</w:t>
      </w:r>
    </w:p>
    <w:p>
      <w:r>
        <w:t>Art. 40 VVG Die betrügerische Begründung des Versicherungsanspruchs im Sinne von Art. 40 VVG ist den Mängeln der Vertragserfüllung gleich zu stellen, weshalb auf die Rückabwicklung die vertraglichen (und nicht die bereicherungsrechtlichen) Regeln anzuwenden sind.</w:t>
      </w:r>
    </w:p>
    <w:p>
      <w:pPr>
        <w:pStyle w:val="Heading2"/>
      </w:pPr>
      <w:r>
        <w:t>Volltext</w:t>
      </w:r>
    </w:p>
    <w:p>
      <w:r>
        <w:t>Aargau Obergericht Versicherungsgericht 09.06.2015 VKL.2014.22</w:t>
      </w:r>
    </w:p>
    <w:p>
      <w:r>
        <w:t>Art. 40 VVG Die betrügerische Begründung des Versicherungsanspruchs im Sinne von Art. 40 VVG ist den Mängeln der Vertragserfüllung gleich zu stellen, weshalb auf die Rückabwicklung die vertraglichen (und nicht die bereicherungsrechtlichen) Regeln anzuwenden sind.</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