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SST.2011.119 vom 1. September 2011</w:t>
      </w:r>
    </w:p>
    <w:p>
      <w:r>
        <w:t>AG Gerichte, 2011-09-01, DE</w:t>
      </w:r>
    </w:p>
    <w:p>
      <w:r>
        <w:rPr>
          <w:b/>
        </w:rPr>
        <w:t xml:space="preserve">Quelle: </w:t>
      </w:r>
      <w:r>
        <w:t>https://mcp.opencaselaw.ch/entscheid/ag_gerichte_SST.2011.119</w:t>
      </w:r>
    </w:p>
    <w:p>
      <w:r>
        <w:t>FR: AG_GERICHTE SST.2011.119 du 1 septembre 2011</w:t>
      </w:r>
    </w:p>
    <w:p>
      <w:r>
        <w:t>IT: AG_GERICHTE SST.2011.119 del 1 settembre 2011</w:t>
      </w:r>
    </w:p>
    <w:p>
      <w:pPr>
        <w:pStyle w:val="Heading2"/>
      </w:pPr>
      <w:r>
        <w:t>Regeste</w:t>
      </w:r>
    </w:p>
    <w:p>
      <w:r>
        <w:t>Art. 57 Abs. 3, 62c Abs. 2 StGB Gegenstand der Anrechnung von Massnahmeaufenthalten auf den zu verbüssenden Rest einer Freiheitsstrafe ist nach dem Wortlaut des Gesetzes der mit der Massnahme verbundene Freiheitsentzug. Entgegen dem früheren Gesetz ist nach der Revision des Allgemeinen Teils des Strafgesetzbuches die Frage der Eingriffsintensität nicht mehr zu prüfen. Entscheidend ist einzig die zeitliche Dauer der Massnahme, nicht aber eine verobjektivierte konkrete Belastung des Betroffenen durch die Massnahme im Verhältnis zu einem Freiheitsentzug. Für die Anrechnung von Massnahmen vor dem Strafurteil ist zumindest ein direkter Zusammenhang mit dem Strafverfahren und bei der Art der Massnahme eine Antizipierung der nachträglich vom Gericht zu treffenden Massnahme zu verlangen.</w:t>
      </w:r>
    </w:p>
    <w:p>
      <w:pPr>
        <w:pStyle w:val="Heading2"/>
      </w:pPr>
      <w:r>
        <w:t>Volltext</w:t>
      </w:r>
    </w:p>
    <w:p>
      <w:r>
        <w:t>Aargau Obergericht Strafgericht 01.09.2011 SST.2011.119</w:t>
      </w:r>
    </w:p>
    <w:p>
      <w:r>
        <w:t>Art. 57 Abs. 3, 62c Abs. 2 StGB Gegenstand der Anrechnung von Massnahmeaufenthalten auf den zu verbüssenden Rest einer Freiheitsstrafe ist nach dem Wortlaut des Gesetzes der mit der Massnahme verbundene Freiheitsentzug. Entgegen dem früheren Gesetz ist nach der Revision des Allgemeinen Teils des Strafgesetzbuches die Frage der Eingriffsintensität nicht mehr zu prüfen. Entscheidend ist einzig die zeitliche Dauer der Massnahme, nicht aber eine verobjektivierte konkrete Belastung des Betroffenen durch die Massnahme im Verhältnis zu einem Freiheitsentzug. Für die Anrechnung von Massnahmen vor dem Strafurteil ist zumindest ein direkter Zusammenhang mit dem Strafverfahren und bei der Art der Massnahme eine Antizipierung der nachträglich vom Gericht zu treffenden Massnahme zu verlangen.</w:t>
      </w:r>
    </w:p>
    <w:p>
      <w:r>
        <w:t>Aargau Obergericht Strafgericht Argovie Strafgericht Argovia Strafgericht Obergericht / Strafgericht / Berufungskammern Obergericht / Strafgericht / Berufungskammern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