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left"/>
      </w:pPr>
      <w:r>
        <w:t>AG_GERICHTE RV.2004.50394 vom 17. November 2005</w:t>
      </w:r>
    </w:p>
    <w:p>
      <w:r>
        <w:t>AG Gerichte, 2005-11-17, DE</w:t>
      </w:r>
    </w:p>
    <w:p>
      <w:r>
        <w:rPr>
          <w:b/>
        </w:rPr>
        <w:t xml:space="preserve">Quelle: </w:t>
      </w:r>
      <w:r>
        <w:t>https://mcp.opencaselaw.ch/entscheid/ag_gerichte_RV.2004.50394</w:t>
      </w:r>
    </w:p>
    <w:p>
      <w:r>
        <w:t>FR: AG_GERICHTE RV.2004.50394 du 17 novembre 2005</w:t>
      </w:r>
    </w:p>
    <w:p>
      <w:r>
        <w:t>IT: AG_GERICHTE RV.2004.50394 del 17 novembre 2005</w:t>
      </w:r>
    </w:p>
    <w:p>
      <w:pPr>
        <w:pStyle w:val="Heading2"/>
      </w:pPr>
      <w:r>
        <w:t>Regeste</w:t>
      </w:r>
    </w:p>
    <w:p>
      <w:r>
        <w:t>Jahressteuer; Entschädigung mit Vorsorgecharakter (§ 45 Abs. 1 lit. e StG). - Eine Abgangsentschädigung hat keinen Vorsorgecharakter, wenn die Empfängerin im Zeitpunkt der Auszahlung vermittlungsfähig und bereit war, eine neue Arbeit anzunehmen und auch danach suchte.</w:t>
      </w:r>
    </w:p>
    <w:p>
      <w:pPr>
        <w:pStyle w:val="Heading2"/>
      </w:pPr>
      <w:r>
        <w:t>Volltext</w:t>
      </w:r>
    </w:p>
    <w:p>
      <w:r>
        <w:t>Aargau Spezialverwaltungsgericht Steuern 17.11.2005 RV.2004.50394</w:t>
      </w:r>
    </w:p>
    <w:p>
      <w:r>
        <w:t>Jahressteuer; Entschädigung mit Vorsorgecharakter (§ 45 Abs. 1 lit. e StG). - Eine Abgangsentschädigung hat keinen Vorsorgecharakter, wenn die Empfängerin im Zeitpunkt der Auszahlung vermittlungsfähig und bereit war, eine neue Arbeit anzunehmen und auch danach suchte.</w:t>
      </w:r>
    </w:p>
    <w:p>
      <w:r>
        <w:t>Aargau Spezialverwaltungsgericht Steuern Argovie Steuern Argovia Steuern Spezialverwaltungsgericht / Abteilung Steuern Spezialverwaltungsgericht / Abteilung Steuern</w:t>
      </w:r>
    </w:p>
    <w:p/>
    <w:p>
      <w:pPr>
        <w:spacing w:before="240"/>
      </w:pPr>
      <w:r>
        <w:t>Export aus OpenCaseLaw (CC0). Verbindlich ist allein der vom erlassenden Gericht veröffentlichte Originaltext. Quellen-URL siehe oben.</w:t>
      </w:r>
    </w:p>
    <w:sectPr w:rsidR="00FC693F" w:rsidRPr="0006063C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Rule="auto" w:line="288" w:before="0" w:after="120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20" w:lineRule="auto" w:line="288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120" w:lineRule="auto" w:line="288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120" w:lineRule="auto" w:line="288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