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KL.2004.50005 vom 31. März 2005</w:t>
      </w:r>
    </w:p>
    <w:p>
      <w:r>
        <w:t>AG Gerichte, 2005-03-31, DE</w:t>
      </w:r>
    </w:p>
    <w:p>
      <w:r>
        <w:rPr>
          <w:b/>
        </w:rPr>
        <w:t xml:space="preserve">Quelle: </w:t>
      </w:r>
      <w:r>
        <w:t>https://mcp.opencaselaw.ch/entscheid/ag_gerichte_KL.2004.50005</w:t>
      </w:r>
    </w:p>
    <w:p>
      <w:r>
        <w:t>FR: AG_GERICHTE KL.2004.50005 du 31 mars 2005</w:t>
      </w:r>
    </w:p>
    <w:p>
      <w:r>
        <w:t>IT: AG_GERICHTE KL.2004.50005 del 31 marzo 2005</w:t>
      </w:r>
    </w:p>
    <w:p>
      <w:pPr>
        <w:pStyle w:val="Heading2"/>
      </w:pPr>
      <w:r>
        <w:t>Regeste</w:t>
      </w:r>
    </w:p>
    <w:p>
      <w:r>
        <w:t>Weiterbildung. Rückzahlungsklausel. - Voraussetzungen für die Zulässigkeit einer Rückzahlungsklausel. Die Kündigung durch den Arbeitgeber infolge dauernder unverschuldeter Arbeitsunfähigkeit des Arbeitnehmers steht in concreto der Anwendung der Rückerstattungsklausel nicht entgegen (Erw. 1 – 6).</w:t>
      </w:r>
    </w:p>
    <w:p>
      <w:pPr>
        <w:pStyle w:val="Heading2"/>
      </w:pPr>
      <w:r>
        <w:t>Volltext</w:t>
      </w:r>
    </w:p>
    <w:p>
      <w:r>
        <w:t>Aargau Obergericht Verwaltungsgericht 31.03.2005 KL.2004.50005</w:t>
      </w:r>
    </w:p>
    <w:p>
      <w:r>
        <w:t>Weiterbildung. Rückzahlungsklausel. - Voraussetzungen für die Zulässigkeit einer Rückzahlungsklausel. Die Kündigung durch den Arbeitgeber infolge dauernder unverschuldeter Arbeitsunfähigkeit des Arbeitnehmers steht in concreto der Anwendung der Rückerstattungsklausel nicht entgegen (Erw. 1 – 6).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