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KL.2002.50003 vom 16. April 2003</w:t>
      </w:r>
    </w:p>
    <w:p>
      <w:r>
        <w:t>AG Gerichte, 2003-04-16, DE</w:t>
      </w:r>
    </w:p>
    <w:p>
      <w:r>
        <w:rPr>
          <w:b/>
        </w:rPr>
        <w:t xml:space="preserve">Quelle: </w:t>
      </w:r>
      <w:r>
        <w:t>https://mcp.opencaselaw.ch/entscheid/ag_gerichte_KL.2002.50003</w:t>
      </w:r>
    </w:p>
    <w:p>
      <w:r>
        <w:t>FR: AG_GERICHTE KL.2002.50003 du 16 avril 2003</w:t>
      </w:r>
    </w:p>
    <w:p>
      <w:r>
        <w:t>IT: AG_GERICHTE KL.2002.50003 del 16 aprile 2003</w:t>
      </w:r>
    </w:p>
    <w:p>
      <w:pPr>
        <w:pStyle w:val="Heading2"/>
      </w:pPr>
      <w:r>
        <w:t>Regeste</w:t>
      </w:r>
    </w:p>
    <w:p>
      <w:r>
        <w:t>Kündigung. - Das rechtliche Gehör ist selbst dann gewährt, wenn die Initiative zur Anhörung von der Arbeitnehmerin und nicht von der kündigenden Arbeitgeberin ausgeht (Erw. II/1/a, b). - Erfordernis der Ermahnung. Die betroffene Person muss grundsätzlich vorgängig der Kündigung auf ihr Ungenügen hingewiesen und ihr Gelegenheit geboten worden sein, sich zu bessern (Erw. II/4/d).</w:t>
      </w:r>
    </w:p>
    <w:p>
      <w:pPr>
        <w:pStyle w:val="Heading2"/>
      </w:pPr>
      <w:r>
        <w:t>Volltext</w:t>
      </w:r>
    </w:p>
    <w:p>
      <w:r>
        <w:t>Aargau Obergericht Verwaltungsgericht 16.04.2003 KL.2002.50003</w:t>
      </w:r>
    </w:p>
    <w:p>
      <w:r>
        <w:t>Kündigung. - Das rechtliche Gehör ist selbst dann gewährt, wenn die Initiative zur Anhörung von der Arbeitnehmerin und nicht von der kündigenden Arbeitgeberin ausgeht (Erw. II/1/a, b). - Erfordernis der Ermahnung. Die betroffene Person muss grundsätzlich vorgängig der Kündigung auf ihr Ungenügen hingewiesen und ihr Gelegenheit geboten worden sein, sich zu bessern (Erw. II/4/d).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