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HA.2005.00012 vom 11. März 2005</w:t>
      </w:r>
    </w:p>
    <w:p>
      <w:r>
        <w:t>AG Gerichte, 2005-03-11, DE</w:t>
      </w:r>
    </w:p>
    <w:p>
      <w:r>
        <w:rPr>
          <w:b/>
        </w:rPr>
        <w:t xml:space="preserve">Quelle: </w:t>
      </w:r>
      <w:r>
        <w:t>https://mcp.opencaselaw.ch/entscheid/ag_gerichte_HA.2005.00012</w:t>
      </w:r>
    </w:p>
    <w:p>
      <w:r>
        <w:t>FR: AG_GERICHTE HA.2005.00012 du 11 mars 2005</w:t>
      </w:r>
    </w:p>
    <w:p>
      <w:r>
        <w:t>IT: AG_GERICHTE HA.2005.00012 del 11 marzo 2005</w:t>
      </w:r>
    </w:p>
    <w:p>
      <w:pPr>
        <w:pStyle w:val="Heading2"/>
      </w:pPr>
      <w:r>
        <w:t>Regeste</w:t>
      </w:r>
    </w:p>
    <w:p>
      <w:r>
        <w:t>Ausschaffungshaft; Verhältnismässigkeit der Haftanordnung Die Haftanordnung erweist sich trotz beabsichtigter Heirat des Gesuchsgegners als verhältnismässig, da noch kein Trauungstermin feststeht, die Prüfung und Beglaubigung der zur Eheschliessung vorausgesetzten Dokumente noch pendent ist und mit einem entsprechenden Ergebnis frühestens in einigen Monaten gerechnet werden kann (Erw. II/6).</w:t>
      </w:r>
    </w:p>
    <w:p>
      <w:pPr>
        <w:pStyle w:val="Heading2"/>
      </w:pPr>
      <w:r>
        <w:t>Volltext</w:t>
      </w:r>
    </w:p>
    <w:p>
      <w:r>
        <w:t>Aargau Obergericht Verwaltungsgericht 11.03.2005 HA.2005.00012</w:t>
      </w:r>
    </w:p>
    <w:p>
      <w:r>
        <w:t>Ausschaffungshaft; Verhältnismässigkeit der Haftanordnung Die Haftanordnung erweist sich trotz beabsichtigter Heirat des Gesuchsgegners als verhältnismässig, da noch kein Trauungstermin feststeht, die Prüfung und Beglaubigung der zur Eheschliessung vorausgesetzten Dokumente noch pendent ist und mit einem entsprechenden Ergebnis frühestens in einigen Monaten gerechnet werden kann (Erw. II/6).</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