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GB.2003.00005 vom 12. Dezember 2003</w:t>
      </w:r>
    </w:p>
    <w:p>
      <w:r>
        <w:t>AG Gerichte, 2003-12-12, DE</w:t>
      </w:r>
    </w:p>
    <w:p>
      <w:r>
        <w:rPr>
          <w:b/>
        </w:rPr>
        <w:t xml:space="preserve">Quelle: </w:t>
      </w:r>
      <w:r>
        <w:t>https://mcp.opencaselaw.ch/entscheid/ag_gerichte_GB.2003.00005</w:t>
      </w:r>
    </w:p>
    <w:p>
      <w:r>
        <w:t>FR: AG_GERICHTE GB.2003.00005 du 12 décembre 2003</w:t>
      </w:r>
    </w:p>
    <w:p>
      <w:r>
        <w:t>IT: AG_GERICHTE GB.2003.00005 del 12 dicembre 2003</w:t>
      </w:r>
    </w:p>
    <w:p>
      <w:pPr>
        <w:pStyle w:val="Heading2"/>
      </w:pPr>
      <w:r>
        <w:t>Regeste</w:t>
      </w:r>
    </w:p>
    <w:p>
      <w:r>
        <w:t>Gebietsbeschränkung; Eingrenzung bei gleichzeitiger Umplatzierung. Die Anordnung einer Eingrenzung (Art. 13e Abs. 1 ANAG) in einen Bezirk bei gleichzeitiger Umplatzierung in diesen Bezirk (Neuzuweisung in eine Gemeinde dieses Bezirkes) ist zulässig. Ein Asylsuchender hat keinen Anspruch auf freie Wahl des Wohnortes (vgl. Art. 28 AsylG) (Erw. II/2).</w:t>
      </w:r>
    </w:p>
    <w:p>
      <w:pPr>
        <w:pStyle w:val="Heading2"/>
      </w:pPr>
      <w:r>
        <w:t>Volltext</w:t>
      </w:r>
    </w:p>
    <w:p>
      <w:r>
        <w:t>Aargau Obergericht Verwaltungsgericht 12.12.2003 GB.2003.00005</w:t>
      </w:r>
    </w:p>
    <w:p>
      <w:r>
        <w:t>Gebietsbeschränkung; Eingrenzung bei gleichzeitiger Umplatzierung. Die Anordnung einer Eingrenzung (Art. 13e Abs. 1 ANAG) in einen Bezirk bei gleichzeitiger Umplatzierung in diesen Bezirk (Neuzuweisung in eine Gemeinde dieses Bezirkes) ist zulässig. Ein Asylsuchender hat keinen Anspruch auf freie Wahl des Wohnortes (vgl. Art. 28 AsylG) (Erw. II/2).</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