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EDGS.2022.25 vom 24. April 2023</w:t>
      </w:r>
    </w:p>
    <w:p>
      <w:r>
        <w:t>AG Gerichte, 2023-04-24, DE</w:t>
      </w:r>
    </w:p>
    <w:p>
      <w:r>
        <w:rPr>
          <w:b/>
        </w:rPr>
        <w:t xml:space="preserve">Quelle: </w:t>
      </w:r>
      <w:r>
        <w:t>https://mcp.opencaselaw.ch/entscheid/ag_gerichte_EDGS.2022.25</w:t>
      </w:r>
    </w:p>
    <w:p>
      <w:r>
        <w:t>FR: AG_GERICHTE EDGS.2022.25 du 24 avril 2023</w:t>
      </w:r>
    </w:p>
    <w:p>
      <w:r>
        <w:t>IT: AG_GERICHTE EDGS.2022.25 del 24 aprile 2023</w:t>
      </w:r>
    </w:p>
    <w:p>
      <w:pPr>
        <w:pStyle w:val="Heading2"/>
      </w:pPr>
      <w:r>
        <w:t>Erwägungen</w:t>
      </w:r>
    </w:p>
    <w:p>
      <w:r>
        <w:rPr>
          <w:b/>
        </w:rPr>
        <w:t>E. 1</w:t>
      </w:r>
    </w:p>
    <w:p>
      <w:r>
        <w:t>Beschwerde, Zuständigkeit Entscheide können nach § 41 Abs. 1 des Gesetzes über die Verwaltungsrechtspflege (Verwaltungs- rechtspflegegesetz, VRPG) vom 4. Dezember 2007 (SAR 271.200) mit Beschwerde angefochten wer- den. Gemäss § 12 Abs. 1 lit. b und e der Verordnung über die Delegation von Kompetenzen des Re- gierungsrats (Delegationsverordnung, DelV) vom 10. April 2013 ist das Departement Gesundheit und Soziales (DGS) zuständig für die Behandlung von Beschwerden gegen Verfügungen und Entscheide des VetD im Vollzugsbereich Hundegesetzgebung und der Tierschutzgesetzgebung.</w:t>
      </w:r>
    </w:p>
    <w:p>
      <w:r>
        <w:rPr>
          <w:b/>
        </w:rPr>
        <w:t>E. 2</w:t>
      </w:r>
    </w:p>
    <w:p>
      <w:r>
        <w:t>Beschwerdebefugnis Die Beschwerdeführerin hat als Adressatin der Verfügung ein schutzwürdiges Interesse an der Aufhe- bung oder Änderung des angefochtenen Entscheids im Sinne von § 42 Abs. 1 lit. a VRPG. Sie ist so- mit zur Erhebung der Beschwerde befugt.</w:t>
      </w:r>
    </w:p>
    <w:p>
      <w:r>
        <w:rPr>
          <w:b/>
        </w:rPr>
        <w:t>E. 3</w:t>
      </w:r>
    </w:p>
    <w:p>
      <w:r>
        <w:t>Beschwerdefrist Mit der Beschwerdeschrift vom 18. November 2022 hat die Beschwerdeführerin die Beschwerdefrist von 30 Tagen gemäss § 44 Abs. 1 VRPG gewahrt.</w:t>
      </w:r>
    </w:p>
    <w:p>
      <w:r>
        <w:rPr>
          <w:b/>
        </w:rPr>
        <w:t>E. 4</w:t>
      </w:r>
    </w:p>
    <w:p>
      <w:r>
        <w:t>Übrige formelle Voraussetzungen Die übrigen formellen Voraussetzungen nach § 43 und § 52 VRPG sind erfüllt respektive deren Erfül- lung ist vorliegend nicht strittig. Auf die Beschwerde ist einzutreten.</w:t>
      </w:r>
    </w:p>
    <w:p>
      <w:r>
        <w:rPr>
          <w:b/>
        </w:rPr>
        <w:t>E. 5</w:t>
      </w:r>
    </w:p>
    <w:p>
      <w:r>
        <w:t>von 11 Tierhaltung zu entnehmen, nicht zuletzt aber auch das mehrfache Nichttreffen von Massnahmen, um übermässige Vermehrung von Tieren zu verhindern. Mit Urteil vom 21. Juni 2021 wurde die Beschwerdeführerin in Bezug auf verschiedene Anklagepunkte schuldig gesprochen. Darunter erneut insbesondere wegen mehrfacher Übertretungen und Vergehen gegen das Tierschutzgesetz. Rechtskräftig geahndet wurden unter anderem die mehrfache Vernach- lässigung von Tieren durch ungenügende Fütterung und ungenügende Pflege oder auch das Nichtbe- folgen einer amtlichen Verfügung. Gemäss Anklageschrift vom 31. August 2020 ahndete das Bezirks- gericht L._____ damit den Verstoss gegen das vom VetD am 8. Januar 2020 verfügte beschränkte Tierhalteverbot, indem B._____ zum Kontrollzeitpunkt mehr Hunde als erlaubt hielt. Das Bezirksge- richt L._____ verurteilte die Beschwerdeführerin zu einer Geldstrafe über Fr. 3'600.–, einer Übertre- tungsbusse über Fr. 1'000.– sowie einer achtmonatigen Freiheitsstrafe, welche allerdings zu Gunsten einer ambulanten Behandlung aufgeschoben wird. Nur wenige Monate später erging ein weiterer Strafbefehl gegen B._____. Mit Strafbefehl vom 13. Ok- tober 2021 wurde die Beschwerdeführerin zu einer Busse von Fr. 600.– verurteilt. Zum wiederholten Male wurde ein Verstoss gegen die Verfügung des VetD vom 8. Januar 2020 rechtskräftig geahndet. B._____ verstiess mit zwei Hundewelpen sowohl gegen das Zuchtverbot als auch gegen die maxi- male Anzahl Hunde, die sie im Nachgang des partiellen Tierhalteverbotes noch halten durfte. Dieses Verhalten ist strafbar gemäss Art. 292 StGB sowie Art. 28 Abs. 3 TSchG. In einem sehr überschaubaren Zeitraum von gerade einmal zwei Jahren wurde B._____ tierschutzwid- riges und strafrechtlich relevantes Verhalten vier Mal geahndet. Auch wenn mit Strafbefehl vom 21. Oktober 2019 lediglich formelle Verstösse festgestellt wurden, so verbleiben immer noch zwei Strafbe- fehle und ein Urteil, welche materielle Verstösse gegen tierschutzrechtliche Vorschriften dokumentie- ren. Es steht ausser Frage, dass wiederholte Zuwiderhandlungen gegen Vorschriften des TSchG und seiner Ausführungserlasse oder gegen Verfügungen des VetD bestraft worden sind. Erschwerend kann dabei auch nicht mehr von leichten Zuwiderhandlungen gesprochen werden. Zu nennen ist etwa die mit Strafbefehl vom 3. April 2020 festgestellte mehrfache Tierquälerei durch Vernachlässigung von zehn Hundewelpen durch Unterlassen der erforderlichen Pflegehandlungen oder auch die mehrfache Tierquälerei durch Vernachlässigung von Tieren durch ungenügende Fütterung und Nicht-Zurverfü- gungstellung von Wasser. Mit diesem Verhalten missachtete die Beschwerdeführerin die Würde und das Wohlergehen der Tiere gemäss Art. 3 lit. a, b TSchG, trug den Bedürfnissen der Tiere nicht aus- reichend Rechnung (Art. 4 Abs. 1 lit. a TSchG), sorgte nicht hinreichend für ihr Wohlergehen (Art. 4 Abs. 1 lit. b TSchG), misshandelte, vernachlässigte, überanstrengte sie unnötig oder missachtete ihre Würde in anderer Weise mehrfach mit Wissen und Willen. Diesen Ausführungen entsprechend lässt sich damit zweifelsfrei auch von schweren tierschutzrechtlichen Zuwiderhandlungen sprechen. Zusammenfassend ergibt sich ergo, dass der VetD in casu ein Tierhalteverbot auf beide alternativen Möglichkeiten des Art. 23 Abs. 1 lit. a TSchG stützen kann. Es liegen unzweideutig wiederholte und schwere Zuwiderhandlungen gegen Vorschriften des Tierschutzgesetzes und seiner Ausführungser- lasse sowie gegen Verfügungen des VetD vor. Die Beschwerdeführerin bezieht sich in ihren drei Be- schwerdeschriften insbesondere auf den Zeitrahmen seit dem Gerichtsentscheid vom 29. Juni 2021 (recte: 21. Juni 2021) und betont, dass sie sich seit " über ein[em] Jahr wesentlich an die Auflagen ge- halten" (Replik vom 28. Dezember 2022, S. 2) hätte. Den mangelnden Stellungnahmen zu den drei Strafbefehlen und dem Urteil vom 21. Juni 2021 lässt sich entnehmen, dass B._____ die materiellen Entscheide und Schuldsprüche vollends akzeptiert und die Schuldsprüche nicht in Frage stellt. Somit</w:t>
      </w:r>
    </w:p>
    <w:p>
      <w:r>
        <w:rPr>
          <w:b/>
        </w:rPr>
        <w:t>E. 6</w:t>
      </w:r>
    </w:p>
    <w:p>
      <w:r>
        <w:t>von 11 bestreitet auch die Beschwerdeführerin nicht, dass sie mehrfach tierschutzrechtlich und strafrechtlich relevant in Erscheinung getreten ist. Lediglich äussert sie Kritik an der Nennung des Wortes "Tierquä- lerin" im Zusammenhang mit der Beschreibung ihres Verhaltens. Der VetD macht allerdings deutlich, dass er sich dabei auf rechtskräftige Verurteilungen betreffend Tierquälerei bezieht. Der der Verurtei- lung wegen mehrfacher Tierquälerei zugrundeliegende Sachverhalt wurde jedoch bereits umfassend und rechtskräftig festgestellt und darf damit vom VetD in diesem Verfahren betreffend Tierschutzge- setzgebung hervorgebracht werden. Das mehrfach tierquälerische Verhalten von B._____ ist ergo nicht strittig. Ein Tierhalteverbot lässt sich demnach bereits auf Art. 23 Abs. 1 lit. a TSchG abstützten. Es soll den- noch im Folgenden geprüft werden, ob es sich ebenfalls auch auf Art. 23 Abs. 1 lit. b TSchG abstüt- zen liesse, wie vom VetD behauptet. a.2) Tierhalteverbot gemäss Art. 23 Abs. 1 lit. b TSchG Der Bundesgesetzgeber sieht in Art. 23 Abs. 1 lit. b TSchG vor, ein Tierhalteverbot aussprechen zu können, wenn Personen aus anderen Gründen als unter Art. 23 Abs. 1 lit. a TSchG genannt unfähig sind, Tiere zu halten oder zu züchten. Unfähigkeit im Sinne von Art. 23 Abs. 1 lit. b TSchG liegt vor, wenn die betreffende Person nicht die grundsätzlichen Verhaltensgebote und -verbote des Tierschutz- gesetzes zu befolgen vermag (vgl. die Urteile 2C_378/2012 vom 1. November 2012 E. 3.1; 2C_635/2011 vom 11. März 2012 E. 2.1 ff.; 2C_79/2007 vom 12. Oktober 2007 E. 4.2.2). Anders als bei der Bestrafung kommt es nicht auf ein Verschulden des Pflichtigen an, sondern lediglich auf das Bestehen eines rechtswidrigen Zustands; es ist eine restitutorische Massnahme, die nicht auf die Be- strafung des Halters, sondern auf den Schutz und die Wiederherstellung der tierschutzrechtlich kor- rekten Haltebedingungen ausgerichtet ist (Urteil 2C_378/2012 vom 1. November 2012 E. 3.1; vgl. RITA JEDELHAUSER, Das Tier unter dem Schutz des Rechts, Diss., 2011, S. 143, 202 f.). Einem Halteverbot gehen in der Regel grobe und für die Tiere leidvolle Verstösse gegen das Tierschutzrecht voraus (Art. 1 in Verbindung mit Art. 3 lit. a TschG; Urteil 2C_378/2012 vom 1. November 2012 E. 3.1; Jedelhauser, a.a.O., S. 204 f. [Vgl. zum Ganzen: BGer, Urteil vom 31. März 2015, 2C_958/2014 E. 2.1.]). Wie bereits unter a.1 gezeigt werden konnte, ist vielfach rechtskräftig festgehalten und geahndet wor- den, dass die Beschwerdeführerin sich mehrfach nicht an diverse Vorgaben der Tierschutzgesetzge- bung und des Strafrechts gehalten hat. Daneben führte der VetD innert drei Jahren mehrere unange- meldete Kontrollen im Haushalt von B._____ und ihrem Lebenspartner E._____ durch. Dabei traten insbesondere wiederholt Mängel in der Haltung, der Hygiene und der Pflege sowie die Missachtung des Zuchtverbotes zu Tage. Verwiesen werden soll in diesem Zusammenhang zum einen auf die Ver- fügung des VetD vom 8. Januar 2020 und zum anderen auf seine Verfügung vom 1. März 2021. In den Verfügungen vom 8. Januar 2020 und 1. März 2021 werden der Beschwerdeführerin die Miss- achtung der folgenden Bestimmungen der eidgenössischen Tierschutzgesetzgebung rechtskräftig zur Last gelegt: Art. 6 Abs. 1 TSchG sowie Art. 3 Abs. 3, Art. 4 Abs. 1, Art. 5 Abs. 1, 2 und 4, Art. 7, Art.</w:t>
      </w:r>
    </w:p>
    <w:p>
      <w:r>
        <w:rPr>
          <w:b/>
        </w:rPr>
        <w:t>E. 10</w:t>
      </w:r>
    </w:p>
    <w:p>
      <w:r>
        <w:t>von 11 Beschwerdeführerin in ihrer Replik vom 28. Dezember 2022 auf den Aspekt der Zumutbarkeit ein. Aus ihrer Sicht müsse das Tierwohl "in Balance" mit ihrer Entwicklungs-, Einsichts- beziehungsweise Ver- änderungsfähigkeit gesehen werden. Sie sei seit klein auf mit Tieren aufgewachsen, habe eine sehr lebendige Beziehung zu Tieren, wisse sehr viel über artgerechte Haltung und beabsichtige einen ver- antwortungsvollen Umgang mit Tieren. Angesichts der zahlreichen und schweren Verstösse gegen das Tierschutzrecht vermag diese Abwägung zu Gunsten des von ihr beantragten verschärften partiel- len Tierhalteverbotes nicht zu überzeugen. Ebenso ist es der Beschwerdeführerin weiterhin möglich, mit Tieren in einem Haushalt zu leben. So hält ihr Partner E._____ zwei Hunde, mit denen sie jeden Tag in Kontakt steht, im gemeinsamen Haushalt mit ihr. Angesichts eines Verbots, Tiere zu halten, ist dieser Umstand beachtlich. Die Beschwerdeführerin führt zudem in ihrer Triplik aus, dass die zwei Hunde E._____ kein Ersatz für ihre eigenen Tiere seien, zu denen sie eine lange Beziehung aufge- baut hätte. Diese Aussage überrascht vor dem Hintergrund, dass der Hund "G._____" schon bei der ersten unangemeldeten Kontrolle am tt.mm.jjjj und der Hund "H._____" seit tt.mm.jjjj (gemäss Verfü- gung vom 2. Juni 2020) im gemeinsamen Haushalt mit B._____ und E._____ lebt. Das Interesse der Beschwerdeführerin, fortan mit zwei Hunden und drei Katzen in einem Haushalt leben zu können, überwiegt mit Verweis auf die einschlägigen tierschutzrechtsrelevanten Verstösse nicht den Schutz der Tiere in ihrer Würde und ihrem Wohlergehen (Art. 1 TSchG). Das sofort gültige, vollumfängliche und unbefristete Tierhalteverbot ist dem Gesagten entsprechend geeignet, erforderlich und zumutbar. Der VetD hat den Grundsatz der Verhältnismässigkeit nicht ver- letzt. Die Beschwerde ist auch in diesem Punkt abzuweisen. 3. Zusammenfassung und Entscheid Zusammengefasst kann der VetD das sofort gültige, vollumfängliche und unbefristete Tierhalteverbot somit sowohl auf Art. 23 Abs. 1 lit. a TSchG als auch auf Art. 23 Abs. 1 lit. b TSchG abstützen. Bestra- fungen wegen wiederholter und schwerer Zuwiderhandlungen gegen das TSchG und seiner Ausfüh- rungserlasse sowie Zuwiderhandlungen gegen Verfügungen des VetD erlauben es dem VetD, ein Tierhalteverbot gestützt auf Art. 23 Abs. 1 lit. a TSchG auszusprechen. Daneben konnte zusätzlich noch aufgezeigt werden, dass die Beschwerdeführerin unfähig im Sinne des Art. 23 Abs. 1 lit. b TSchG ist, Tiere zu halten oder zu züchten. Auch dieser Umstand eröffnet dem VetD die Möglichkeit, ein Tierhalteverbot gegen die Beschwerdeführerin auszusprechen. Vor dem Hintergrund rechtskräftig festgestellter tierschutzrechtsrelevanter Verfehlungen und Bestrafungen sowie einer diagnostizierten mittelschweren Animal Hoarding Disorder hält ein sofort gültiges, vollumfängliches und unbefristetes Tierhalteverbot auch zweifelsfrei vor dem Grundsatz der Verhältnismässigkeit stand. Die Beschwerde ist aus den genannten Gründen abzuweisen. 4. Kostenfolge Im Beschwerdeverfahren sind die Kosten gemäss § 31 Abs. 2 Satz 1 VRPG in der Regel nach Mass- gabe von Obsiegen und Unterliegen auf die Parteien zu verlegen. Gründe für ein Abweichen von die- sem Grundsatz sind vorliegend nicht ersichtlich. Innerhalb des Rahmens von Fr. 200.- bis Fr. 5'000.- gemäss § 3 Abs. 1 i. V. m. § 22 Abs. 1 lit. a des Dekrets über die Verfahrenskosten (Verfahrenskostendekret, VKD) vom 24. November 1987 (SAR 221.150) wird die Staatsgebühr auf Fr. 1'500.– festgesetzt, hinzu kommt gemäss § 25 Abs. 1 VKD eine Kanzleigebühr von Fr. 120.-.</w:t>
      </w:r>
    </w:p>
    <w:p>
      <w:r>
        <w:rPr>
          <w:b/>
        </w:rPr>
        <w:t>E. 11</w:t>
      </w:r>
    </w:p>
    <w:p>
      <w:r>
        <w:t>von 11 Parteikosten wurden nicht geltend gemacht und sind auch nicht ersichtlich. Die Zusprechung von Er- satz entfällt schon aus diesem Grund. Entscheid 1. Die Beschwerde wird abgewiesen. 2. Die Beschwerdeführerin hat die Kosten des Verfahrens, bestehend aus einer Staatsgebühr von Fr. 1'500.–, der Kanzleigebühr und den Auslagen von Fr. 120.–, zusammen Fr. 1'620.–, zu bezahlen. 3. Eine Parteientschädigung wird nicht ausgerichtet. Departement Gesundheit und Soziales Roger Lehner Leiter Rechtsdienst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