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BE.2003.00056 vom 27. Februar 2004</w:t>
      </w:r>
    </w:p>
    <w:p>
      <w:r>
        <w:t>AG Gerichte, 2004-02-27, DE</w:t>
      </w:r>
    </w:p>
    <w:p>
      <w:r>
        <w:rPr>
          <w:b/>
        </w:rPr>
        <w:t xml:space="preserve">Quelle: </w:t>
      </w:r>
      <w:r>
        <w:t>https://mcp.opencaselaw.ch/entscheid/ag_gerichte_BE.2003.00056</w:t>
      </w:r>
    </w:p>
    <w:p>
      <w:r>
        <w:t>FR: AG_GERICHTE BE.2003.00056 du 27 février 2004</w:t>
      </w:r>
    </w:p>
    <w:p>
      <w:r>
        <w:t>IT: AG_GERICHTE BE.2003.00056 del 27 febbraio 2004</w:t>
      </w:r>
    </w:p>
    <w:p>
      <w:pPr>
        <w:pStyle w:val="Heading2"/>
      </w:pPr>
      <w:r>
        <w:t>Regeste</w:t>
      </w:r>
    </w:p>
    <w:p>
      <w:r>
        <w:t>Androhung der Ausweisung Die Androhung der Ausweisung stellt keine Massnahme im Sinne des Freizügigkeitsabkommens dar (Erw. II/2). Für deren Prüfung kommt deshalb einzig das ANAG zur Anwendung. In casu ist die Androhung der Ausweisung verhältnismässig (Erw. II/3).</w:t>
      </w:r>
    </w:p>
    <w:p>
      <w:pPr>
        <w:pStyle w:val="Heading2"/>
      </w:pPr>
      <w:r>
        <w:t>Volltext</w:t>
      </w:r>
    </w:p>
    <w:p>
      <w:r>
        <w:t>Aargau Obergericht Verwaltungsgericht 27.02.2004 BE.2003.00056</w:t>
      </w:r>
    </w:p>
    <w:p>
      <w:r>
        <w:t>Androhung der Ausweisung Die Androhung der Ausweisung stellt keine Massnahme im Sinne des Freizügigkeitsabkommens dar (Erw. II/2). Für deren Prüfung kommt deshalb einzig das ANAG zur Anwendung. In casu ist die Androhung der Ausweisung verhältnismässig (Erw. II/3).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