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BE.2003.00031 vom 15. August 2003</w:t>
      </w:r>
    </w:p>
    <w:p>
      <w:r>
        <w:t>AG Gerichte, 2003-08-15, DE</w:t>
      </w:r>
    </w:p>
    <w:p>
      <w:r>
        <w:rPr>
          <w:b/>
        </w:rPr>
        <w:t xml:space="preserve">Quelle: </w:t>
      </w:r>
      <w:r>
        <w:t>https://mcp.opencaselaw.ch/entscheid/ag_gerichte_BE.2003.00031</w:t>
      </w:r>
    </w:p>
    <w:p>
      <w:r>
        <w:t>FR: AG_GERICHTE BE.2003.00031 du 15 août 2003</w:t>
      </w:r>
    </w:p>
    <w:p>
      <w:r>
        <w:t>IT: AG_GERICHTE BE.2003.00031 del 15 agosto 2003</w:t>
      </w:r>
    </w:p>
    <w:p>
      <w:pPr>
        <w:pStyle w:val="Heading2"/>
      </w:pPr>
      <w:r>
        <w:t>Regeste</w:t>
      </w:r>
    </w:p>
    <w:p>
      <w:r>
        <w:t>Familiennachzug des ausserehelichen Sohnes eines Schweizers. Analoge Anwendung des Freizügigkeitsabkommens auf Schweizer Bürger gestützt auf Art. 8 Abs. 1 BV, da kein qualifiziertes Schweigen des Gesetzgebers, sondern eine Lücke im Gesetz vorliegt (Erw. II/3 und 4).</w:t>
      </w:r>
    </w:p>
    <w:p>
      <w:pPr>
        <w:pStyle w:val="Heading2"/>
      </w:pPr>
      <w:r>
        <w:t>Volltext</w:t>
      </w:r>
    </w:p>
    <w:p>
      <w:r>
        <w:t>Aargau Obergericht Verwaltungsgericht 15.08.2003 BE.2003.00031</w:t>
      </w:r>
    </w:p>
    <w:p>
      <w:r>
        <w:t>Familiennachzug des ausserehelichen Sohnes eines Schweizers. Analoge Anwendung des Freizügigkeitsabkommens auf Schweizer Bürger gestützt auf Art. 8 Abs. 1 BV, da kein qualifiziertes Schweigen des Gesetzgebers, sondern eine Lücke im Gesetz vorliegt (Erw. II/3 und 4).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