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BE.2003.00014 vom 15. August 2003</w:t>
      </w:r>
    </w:p>
    <w:p>
      <w:r>
        <w:t>AG Gerichte, 2003-08-15, DE</w:t>
      </w:r>
    </w:p>
    <w:p>
      <w:r>
        <w:rPr>
          <w:b/>
        </w:rPr>
        <w:t xml:space="preserve">Quelle: </w:t>
      </w:r>
      <w:r>
        <w:t>https://mcp.opencaselaw.ch/entscheid/ag_gerichte_BE.2003.00014</w:t>
      </w:r>
    </w:p>
    <w:p>
      <w:r>
        <w:t>FR: AG_GERICHTE BE.2003.00014 du 15 août 2003</w:t>
      </w:r>
    </w:p>
    <w:p>
      <w:r>
        <w:t>IT: AG_GERICHTE BE.2003.00014 del 15 agosto 2003</w:t>
      </w:r>
    </w:p>
    <w:p>
      <w:pPr>
        <w:pStyle w:val="Heading2"/>
      </w:pPr>
      <w:r>
        <w:t>Regeste</w:t>
      </w:r>
    </w:p>
    <w:p>
      <w:r>
        <w:t>Erlöschen der Niederlassungsbewilligung. Bei der Beantwortung der Frage, wann Auslandaufenthalte zum Erlöschen der Niederlassungsbewilligung führen können, ist entscheidend, wo sich der Lebensmittelpunkt des Betroffenen in der fraglichen Zeit befunden hat. Ausschlaggebend für die Bestimmung des Lebensmittelpunktes ist die Intensität der Beziehung des Betroffenen zu einem Ort (Erw. II/1 bis 3).</w:t>
      </w:r>
    </w:p>
    <w:p>
      <w:pPr>
        <w:pStyle w:val="Heading2"/>
      </w:pPr>
      <w:r>
        <w:t>Volltext</w:t>
      </w:r>
    </w:p>
    <w:p>
      <w:r>
        <w:t>Aargau Obergericht Verwaltungsgericht 15.08.2003 BE.2003.00014</w:t>
      </w:r>
    </w:p>
    <w:p>
      <w:r>
        <w:t>Erlöschen der Niederlassungsbewilligung. Bei der Beantwortung der Frage, wann Auslandaufenthalte zum Erlöschen der Niederlassungsbewilligung führen können, ist entscheidend, wo sich der Lebensmittelpunkt des Betroffenen in der fraglichen Zeit befunden hat. Ausschlaggebend für die Bestimmung des Lebensmittelpunktes ist die Intensität der Beziehung des Betroffenen zu einem Ort (Erw. II/1 bis 3).</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