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BE.2001.00022 vom 20. Juli 2001</w:t>
      </w:r>
    </w:p>
    <w:p>
      <w:r>
        <w:t>AG Gerichte, 2001-07-20, DE</w:t>
      </w:r>
    </w:p>
    <w:p>
      <w:r>
        <w:rPr>
          <w:b/>
        </w:rPr>
        <w:t xml:space="preserve">Quelle: </w:t>
      </w:r>
      <w:r>
        <w:t>https://mcp.opencaselaw.ch/entscheid/ag_gerichte_BE.2001.00022</w:t>
      </w:r>
    </w:p>
    <w:p>
      <w:r>
        <w:t>FR: AG_GERICHTE BE.2001.00022 du 20 juillet 2001</w:t>
      </w:r>
    </w:p>
    <w:p>
      <w:r>
        <w:t>IT: AG_GERICHTE BE.2001.00022 del 20 luglio 2001</w:t>
      </w:r>
    </w:p>
    <w:p>
      <w:pPr>
        <w:pStyle w:val="Heading2"/>
      </w:pPr>
      <w:r>
        <w:t>Regeste</w:t>
      </w:r>
    </w:p>
    <w:p>
      <w:r>
        <w:t>Familiennachzug des Kindes durch einen Elternteil. Ist ein Elternteil verstorben, so ist das Familiennachzugsgesuch nach den Kriterien des Familiennachzugs einer Gesamtfamilie zu beurteilen (Erw. II/2d).</w:t>
      </w:r>
    </w:p>
    <w:p>
      <w:pPr>
        <w:pStyle w:val="Heading2"/>
      </w:pPr>
      <w:r>
        <w:t>Erwägungen</w:t>
      </w:r>
    </w:p>
    <w:p>
      <w:r>
        <w:rPr>
          <w:b/>
        </w:rPr>
        <w:t>E. 13</w:t>
      </w:r>
    </w:p>
    <w:p>
      <w:r>
        <w:t>Oktober 2000 Einsprache. Am 23. Februar 2001 wies der Rechtsdienst der Fremdenpolizei (Vorinstanz) die Einsprache ab. C. Gegen den Einspracheentscheid der Vorinstanz erhoben die Beschwerdeführer am 18. März 2001 Beschwerde. Aus den Erwägungen II. 2. d) Im vorliegenden Fall ist der Vater des Beschwerdefüh- rers bereits vor dessen Geburt gestorben. Es stellt sich somit die Frage, ob das Familiennachzugsgesuch nach den Kriterien des Einelternnachzuges zu prüfen ist, oder ob ein vorbehaltsloser An- spruch auf Familiennachzug besteht. Richtig ist, dass Art. 17 Abs. 2 ANAG gemäss bundesgerichtlicher Rechtsprechung die Ermögli- chung des Zusammenlebens der Gesamtfamilie (Vater, Mutter und Kind) bezweckt. Bei einer Familie, bei der ein Elternteil verstorben ist, kann die (Gesamt)familie jedoch nur noch aus dem Rest der Fa- milie, d.h. aus einem Elternteil und dem Kind, bestehen. Dement-</w:t>
      </w:r>
    </w:p>
    <w:p>
      <w:r>
        <w:t>498 Rekursgericht im Ausländerrecht 2001 sprechend hat das Bundesgericht in BGE 118 Ib 153, E. 2b, S. 159 ausgeführt, diese Idealvorstellung einer Familie stehe unter dem Vorbehalt, dass beide Elternteile überhaupt noch leben. Wörtlich schreibt das Bundesgericht: "das Gesetz verlangt nun ausdrücklich, dass die Kinder mit ihren Eltern (Plural) zusammen wohnen werden. Nach der Systematik - vgl. die beiden ersten Sätze der Bestimmung - geht Art. 17 Abs. 2 ANAG vom Zusammenleben von Vater und Mutter aus, wobei dies natürlich unter dem Vorbehalt steht, dass beide Eltern überhaupt noch leben." Entgegen der Auffassung der Vorinstanz besteht damit - innerhalb der allgemeinen Schranken von Art. 17 Abs. 2 ANAG - ein vorbehaltloser Anspruch auf Familien- nachzug. (...). Stellen die allgemeinen Schranken von Art. 17 Abs. 2 ANAG kein Hindernis für den Familiennachzug dar, ist dieser nur dann zu verweigern, wenn sich das Gesuch als rechtsmissbräuchlich erweist.</w:t>
      </w:r>
    </w:p>
    <w:p>
      <w:r>
        <w:t>2001 Beschwerden gegen Einspracheentscheide der F... 499 115 Nichtverlängerung der Aufenthaltsbewilligung - Das Berufen auf eine nur noch formell bestehende Ehe, mit dem einzigen Ziel, die Anwesenheitsbewilligung nicht zu ver- lieren, ist rechtsmissbräuchlich. Dies auch dann, wenn der Scheidungsrichter die Scheidungsklage wegen angeblicher Un- zumutbarkeit abweist (Erw. II/4a-b). - Massgeblich ist, ob aus dem Verhalten und den Aussagen des betroffenen Ausländers beziehungsweise ob aufgrund der ge- samten Umstände geschlossen werden kann, der betroffene Ausländer wolle die Ehe effektiv nicht mehr fortführen und er willige nur deshalb nicht in die Scheidung ein, um sich hin- sichtlich seines Aufenthaltsrechts in der Schweiz einen Vorteil zu verschaffen (Erw. II/4c). - Die Prüfung im vorliegenden Fall ergibt, dass sich die Be- schwerdeführerin nicht rechtsmissbräuchlich auf die Ehe be- ruft (Erw. 4d). Aus dem Entscheid des Rekursgerichts im Ausländerrecht vom 7. September 2001 in Sachen L.U. gegen einen Entscheid der Fremdenpolizei (BE.2001.00004). Sachverhalt A. Die Beschwerdeführerin reiste nach eigenen Angaben am 2. August 1992 erstmals als Touristin in die Schweiz ein. 1998 hei- ratete sie in A. den schweizerischen Staatsangehörigen R.U.. Hierauf wurde ihr am 2. April 1998 durch die Fremdenpolizei eine Aufent- haltsbewilligung erteilt und diese in der Folge verlängert. Am 1. April 1999 reichte der Ehemann der Beschwerdeführerin beim Be- zirksgericht B. eine Scheidungsklage wegen tiefer Zerrüttung ein. Mit Präliminarurteil des Gerichtspräsidiums B. vom 13. Januar 2000 wurde die Aufhebung des gemeinsamen Haushaltes der Parteien festgestellt. Am 6. März 2000 gewährte die Fremdenpolizei der Be- schwerdeführerin das rechtliche Gehör im Hinblick auf einen Wider- ruf ihrer Aufenthaltsbewilligung. Sie stellte sich dabei auf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