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AVV.2012.11 vom 14. August 2012</w:t>
      </w:r>
    </w:p>
    <w:p>
      <w:r>
        <w:t>AG Gerichte, 2012-08-14, DE</w:t>
      </w:r>
    </w:p>
    <w:p>
      <w:r>
        <w:rPr>
          <w:b/>
        </w:rPr>
        <w:t xml:space="preserve">Quelle: </w:t>
      </w:r>
      <w:r>
        <w:t>https://mcp.opencaselaw.ch/entscheid/ag_gerichte_AVV.2012.11</w:t>
      </w:r>
    </w:p>
    <w:p>
      <w:r>
        <w:t>FR: AG_GERICHTE AVV.2012.11 du 14 août 2012</w:t>
      </w:r>
    </w:p>
    <w:p>
      <w:r>
        <w:t>IT: AG_GERICHTE AVV.2012.11 del 14 agosto 2012</w:t>
      </w:r>
    </w:p>
    <w:p>
      <w:pPr>
        <w:pStyle w:val="Heading2"/>
      </w:pPr>
      <w:r>
        <w:t>Regeste</w:t>
      </w:r>
    </w:p>
    <w:p>
      <w:r>
        <w:t>Art. 12 lit. a BGFA Unangepasstes, übertrieben aggressives Verhalten kann einen Verstoss gegen Berufspflichten darstellen. Die blosse Einleitung einer Betreibung stellt keinen Verstoss gegen Berufspflichten dar, sofern sie nicht missbräuchlich, zur Verfolgung sachfremder Ziele erfolgt.</w:t>
      </w:r>
    </w:p>
    <w:p>
      <w:pPr>
        <w:pStyle w:val="Heading2"/>
      </w:pPr>
      <w:r>
        <w:t>Volltext</w:t>
      </w:r>
    </w:p>
    <w:p>
      <w:r>
        <w:t>Aargau Anwaltskommission 14.08.2012 AVV.2012.11 Argovie Anwaltskommission 14.08.2012 AVV.2012.11 Argovia Anwaltskommission 14.08.2012 AVV.2012.11</w:t>
      </w:r>
    </w:p>
    <w:p>
      <w:r>
        <w:t>Art. 12 lit. a BGFA Unangepasstes, übertrieben aggressives Verhalten kann einen Verstoss gegen Berufspflichten darstellen. Die blosse Einleitung einer Betreibung stellt keinen Verstoss gegen Berufspflichten dar, sofern sie nicht missbräuchlich, zur Verfolgung sachfremder Ziele erfolgt.</w:t>
      </w:r>
    </w:p>
    <w:p>
      <w:r>
        <w:t>Aargau Anwaltskommission Argovie Anwaltskommission Argovia Anwaltskommission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