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AVV.2008.23 vom 19. August 2008</w:t>
      </w:r>
    </w:p>
    <w:p>
      <w:r>
        <w:t>AG Gerichte, 2008-08-19, DE</w:t>
      </w:r>
    </w:p>
    <w:p>
      <w:r>
        <w:rPr>
          <w:b/>
        </w:rPr>
        <w:t xml:space="preserve">Quelle: </w:t>
      </w:r>
      <w:r>
        <w:t>https://mcp.opencaselaw.ch/entscheid/ag_gerichte_AVV.2008.23</w:t>
      </w:r>
    </w:p>
    <w:p>
      <w:r>
        <w:t>FR: AG_GERICHTE AVV.2008.23 du 19 août 2008</w:t>
      </w:r>
    </w:p>
    <w:p>
      <w:r>
        <w:t>IT: AG_GERICHTE AVV.2008.23 del 19 agosto 2008</w:t>
      </w:r>
    </w:p>
    <w:p>
      <w:pPr>
        <w:pStyle w:val="Heading2"/>
      </w:pPr>
      <w:r>
        <w:t>Regeste</w:t>
      </w:r>
    </w:p>
    <w:p>
      <w:r>
        <w:t>Art. 7 Abs. 1 lit. b und Abs. 3 BGFA, § 15 Abs. 1 lit. c EG BGFA, § 2 AnwV; Frage der hinreichenden rechtspraktischen Tätigkeit für die Zulassung zur Anwaltsprüfung: - Keine Anrechenbarkeit absolvierter beruflicher Tätigkeiten irgendwelcher Art, welche vor Abschluss eines juristischen Studiums mit dem Bachelor in Rechtswissenschaften absolviert wurden. - Keine Gleichstellung der Tätigkeiten in einem (eigenen) privaten Unternehmen (Leitung von Projekten für Gemeindeverwaltungen in den Bereichen Finanzverwaltung, Steuer- und Betreibungsämter) mit der Tätigkeit in einer Gemeindeverwaltung. - Keine Anrechnung von Tätigkeiten als "Wirtschaftsjurist" bei einer Treuhand- und Beratungsfirma. - Keine Anrechnung einer Tätigkeit als Fachrichter am Handelsgericht; die Fachrichter unterstützen vor allem mit ihrem Fachwissen in bestimmten Bereichen die juristisch geschulten Richter und Richterinnen sowie die Gerichtsschreiber und Gerichtsschreiberinnen und erhalten weder eine ausgeprägte juristische Ausbildung, noch sind sie selber ausgeprägt rechtspraktisch tätig. Zudem ist das entsprechende "Pensum" im Nebenamt in den meisten Fällen sehr klein. Eine erst dreijährige Fachrichtertätigkeit, wie es beim Gesuchsteller der Fall ist, kommt in jedem Fall noch nicht in Frage für eine Anrechnung an die gemäss Prüfungsvoraussetzungen notwendige Praktikumsdauer.</w:t>
      </w:r>
    </w:p>
    <w:p>
      <w:pPr>
        <w:pStyle w:val="Heading2"/>
      </w:pPr>
      <w:r>
        <w:t>Volltext</w:t>
      </w:r>
    </w:p>
    <w:p>
      <w:r>
        <w:t>Aargau Anwaltskommission 19.08.2008 AVV.2008.23 Argovie Anwaltskommission 19.08.2008 AVV.2008.23 Argovia Anwaltskommission 19.08.2008 AVV.2008.23</w:t>
      </w:r>
    </w:p>
    <w:p>
      <w:r>
        <w:t>Art. 7 Abs. 1 lit. b und Abs. 3 BGFA, § 15 Abs. 1 lit. c EG BGFA, § 2 AnwV; Frage der hinreichenden rechtspraktischen Tätigkeit für die Zulassung zur Anwaltsprüfung: - Keine Anrechenbarkeit absolvierter beruflicher Tätigkeiten irgendwelcher Art, welche vor Abschluss eines juristischen Studiums mit dem Bachelor in Rechtswissenschaften absolviert wurden. - Keine Gleichstellung der Tätigkeiten in einem (eigenen) privaten Unternehmen (Leitung von Projekten für Gemeindeverwaltungen in den Bereichen Finanzverwaltung, Steuer- und Betreibungsämter) mit der Tätigkeit in einer Gemeindeverwaltung. - Keine Anrechnung von Tätigkeiten als "Wirtschaftsjurist" bei einer Treuhand- und Beratungsfirma. - Keine Anrechnung einer Tätigkeit als Fachrichter am Handelsgericht; die Fachrichter unterstützen vor allem mit ihrem Fachwissen in bestimmten Bereichen die juristisch geschulten Richter und Richterinnen sowie die Gerichtsschreiber und Gerichtsschreiberinnen und erhalten weder eine ausgeprägte juristische Ausbildung, noch sind sie selber ausgeprägt rechtspraktisch tätig. Zudem ist das entsprechende "Pensum" im Nebenamt in den meisten Fällen sehr klein. Eine erst dreijährige Fachrichtertätigkeit, wie es beim Gesuchsteller der Fall ist, kommt in jedem Fall noch nicht in Frage für eine Anrechnung an die gemäss Prüfungsvoraussetzungen notwendige Praktikumsdauer.</w:t>
      </w:r>
    </w:p>
    <w:p>
      <w:r>
        <w:t>Aargau Anwaltskommission Argovie Anwaltskommission Argovia Anwaltskommission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