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AVV.2007.25 vom 28. Februar 2008</w:t>
      </w:r>
    </w:p>
    <w:p>
      <w:r>
        <w:t>AG Gerichte, 2008-02-28, DE</w:t>
      </w:r>
    </w:p>
    <w:p>
      <w:r>
        <w:rPr>
          <w:b/>
        </w:rPr>
        <w:t xml:space="preserve">Quelle: </w:t>
      </w:r>
      <w:r>
        <w:t>https://mcp.opencaselaw.ch/entscheid/ag_gerichte_AVV.2007.25</w:t>
      </w:r>
    </w:p>
    <w:p>
      <w:r>
        <w:t>FR: AG_GERICHTE AVV.2007.25 du 28 février 2008</w:t>
      </w:r>
    </w:p>
    <w:p>
      <w:r>
        <w:t>IT: AG_GERICHTE AVV.2007.25 del 28 febbraio 2008</w:t>
      </w:r>
    </w:p>
    <w:p>
      <w:pPr>
        <w:pStyle w:val="Heading2"/>
      </w:pPr>
      <w:r>
        <w:t>Regeste</w:t>
      </w:r>
    </w:p>
    <w:p>
      <w:r>
        <w:t>Art. 12 lit. a BGFA Verpasste Rechtsmittelfrist: Keine Verletzung von Art. 12 lit. a BGFA, wenn ein Rechtsanwalt alle geeigneten Vorsichtsmassnahmen wie die Führung einer doppelten Fristenkontrolle sowie die genügende Instruktion eines Kanzleimitarbeiters getroffen hat, um die Einhaltung von Fristen gewährleisten zu können.</w:t>
      </w:r>
    </w:p>
    <w:p>
      <w:pPr>
        <w:pStyle w:val="Heading2"/>
      </w:pPr>
      <w:r>
        <w:t>Volltext</w:t>
      </w:r>
    </w:p>
    <w:p>
      <w:r>
        <w:t>Aargau Anwaltskommission 28.02.2008 AVV.2007.25 Argovie Anwaltskommission 28.02.2008 AVV.2007.25 Argovia Anwaltskommission 28.02.2008 AVV.2007.25</w:t>
      </w:r>
    </w:p>
    <w:p>
      <w:r>
        <w:t>Art. 12 lit. a BGFA Verpasste Rechtsmittelfrist: Keine Verletzung von Art. 12 lit. a BGFA, wenn ein Rechtsanwalt alle geeigneten Vorsichtsmassnahmen wie die Führung einer doppelten Fristenkontrolle sowie die genügende Instruktion eines Kanzleimitarbeiters getroffen hat, um die Einhaltung von Fristen gewährleisten zu können.</w:t>
      </w:r>
    </w:p>
    <w:p>
      <w:r>
        <w:t>Aargau Anwaltskommission Argovie Anwaltskommission Argovia Anwaltskommission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